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E31F3" w14:textId="77C51C30" w:rsidR="00F9174B" w:rsidRDefault="00827744">
      <w:pPr>
        <w:pStyle w:val="FP"/>
        <w:tabs>
          <w:tab w:val="left" w:pos="567"/>
          <w:tab w:val="right" w:pos="10065"/>
        </w:tabs>
        <w:rPr>
          <w:rFonts w:ascii="Arial" w:hAnsi="Arial" w:cs="Arial"/>
          <w:b/>
          <w:sz w:val="24"/>
          <w:szCs w:val="24"/>
          <w:lang w:eastAsia="ja-JP"/>
        </w:rPr>
      </w:pPr>
      <w:r>
        <w:rPr>
          <w:rFonts w:ascii="Arial" w:hAnsi="Arial" w:cs="Arial"/>
          <w:b/>
          <w:sz w:val="24"/>
          <w:szCs w:val="24"/>
        </w:rPr>
        <w:t>3GPP TSG RAN meeting #97-e</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RP-22</w:t>
      </w:r>
      <w:r w:rsidR="00670AD9">
        <w:rPr>
          <w:rFonts w:ascii="Arial" w:hAnsi="Arial" w:cs="Arial"/>
          <w:b/>
          <w:sz w:val="24"/>
          <w:szCs w:val="24"/>
        </w:rPr>
        <w:t>2</w:t>
      </w:r>
      <w:r w:rsidR="00842F9D">
        <w:rPr>
          <w:rFonts w:ascii="Arial" w:hAnsi="Arial" w:cs="Arial"/>
          <w:b/>
          <w:sz w:val="24"/>
          <w:szCs w:val="24"/>
        </w:rPr>
        <w:t>561</w:t>
      </w:r>
    </w:p>
    <w:p w14:paraId="252F105E" w14:textId="77777777" w:rsidR="00F9174B" w:rsidRDefault="00827744">
      <w:pPr>
        <w:tabs>
          <w:tab w:val="left" w:pos="567"/>
        </w:tabs>
        <w:rPr>
          <w:rFonts w:ascii="Arial" w:hAnsi="Arial" w:cs="Arial"/>
          <w:b/>
          <w:sz w:val="24"/>
        </w:rPr>
      </w:pPr>
      <w:r>
        <w:rPr>
          <w:rFonts w:ascii="Arial" w:hAnsi="Arial" w:cs="Arial"/>
          <w:b/>
          <w:sz w:val="24"/>
        </w:rPr>
        <w:t>Online, September 12-16, 2022</w:t>
      </w:r>
    </w:p>
    <w:p w14:paraId="1993BEDE" w14:textId="77777777" w:rsidR="00F9174B" w:rsidRDefault="00827744">
      <w:pPr>
        <w:pStyle w:val="Heading2"/>
        <w:jc w:val="center"/>
        <w:rPr>
          <w:u w:val="single"/>
        </w:rPr>
      </w:pPr>
      <w:r>
        <w:rPr>
          <w:u w:val="single"/>
        </w:rPr>
        <w:t>Status Report to TSG</w:t>
      </w:r>
    </w:p>
    <w:p w14:paraId="540E0085" w14:textId="77777777" w:rsidR="00F9174B" w:rsidRDefault="00827744">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9174B" w14:paraId="46E638B7" w14:textId="77777777">
        <w:tc>
          <w:tcPr>
            <w:tcW w:w="2436" w:type="dxa"/>
            <w:shd w:val="clear" w:color="auto" w:fill="auto"/>
          </w:tcPr>
          <w:p w14:paraId="3836DF29" w14:textId="77777777" w:rsidR="00F9174B" w:rsidRDefault="00827744">
            <w:pPr>
              <w:tabs>
                <w:tab w:val="left" w:pos="567"/>
              </w:tabs>
              <w:spacing w:after="0"/>
              <w:rPr>
                <w:rFonts w:ascii="Arial" w:hAnsi="Arial" w:cs="Arial"/>
                <w:b/>
              </w:rPr>
            </w:pPr>
            <w:r>
              <w:rPr>
                <w:rFonts w:ascii="Arial" w:hAnsi="Arial" w:cs="Arial"/>
                <w:b/>
              </w:rPr>
              <w:t>WI / SI Name</w:t>
            </w:r>
          </w:p>
        </w:tc>
        <w:tc>
          <w:tcPr>
            <w:tcW w:w="7650" w:type="dxa"/>
            <w:gridSpan w:val="5"/>
          </w:tcPr>
          <w:p w14:paraId="2C1BF080" w14:textId="77777777" w:rsidR="00F9174B" w:rsidRDefault="00F9174B">
            <w:pPr>
              <w:tabs>
                <w:tab w:val="left" w:pos="567"/>
              </w:tabs>
              <w:spacing w:after="0"/>
              <w:rPr>
                <w:rFonts w:ascii="Arial" w:hAnsi="Arial" w:cs="Arial"/>
              </w:rPr>
            </w:pPr>
          </w:p>
        </w:tc>
      </w:tr>
      <w:tr w:rsidR="00F9174B" w14:paraId="6133B88D" w14:textId="77777777">
        <w:tc>
          <w:tcPr>
            <w:tcW w:w="2436" w:type="dxa"/>
            <w:shd w:val="clear" w:color="auto" w:fill="auto"/>
          </w:tcPr>
          <w:p w14:paraId="091A92A2" w14:textId="77777777" w:rsidR="00F9174B" w:rsidRDefault="00827744">
            <w:pPr>
              <w:tabs>
                <w:tab w:val="left" w:pos="567"/>
              </w:tabs>
              <w:spacing w:after="0"/>
              <w:rPr>
                <w:rFonts w:ascii="Arial" w:hAnsi="Arial" w:cs="Arial"/>
                <w:bCs/>
              </w:rPr>
            </w:pPr>
            <w:r>
              <w:rPr>
                <w:rFonts w:ascii="Arial" w:hAnsi="Arial" w:cs="Arial"/>
                <w:bCs/>
              </w:rPr>
              <w:t>included in this status report</w:t>
            </w:r>
          </w:p>
        </w:tc>
        <w:tc>
          <w:tcPr>
            <w:tcW w:w="1846" w:type="dxa"/>
          </w:tcPr>
          <w:p w14:paraId="5B7815A2" w14:textId="77777777" w:rsidR="00F9174B" w:rsidRDefault="0082774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2DE51" w14:textId="77777777" w:rsidR="00F9174B" w:rsidRDefault="00827744">
            <w:pPr>
              <w:tabs>
                <w:tab w:val="left" w:pos="567"/>
              </w:tabs>
              <w:spacing w:after="0"/>
              <w:rPr>
                <w:rFonts w:ascii="Arial" w:hAnsi="Arial" w:cs="Arial"/>
              </w:rPr>
            </w:pPr>
            <w:r>
              <w:rPr>
                <w:rFonts w:ascii="Arial" w:hAnsi="Arial" w:cs="Arial"/>
                <w:lang w:eastAsia="ja-JP"/>
              </w:rPr>
              <w:t>No</w:t>
            </w:r>
          </w:p>
        </w:tc>
        <w:tc>
          <w:tcPr>
            <w:tcW w:w="1842" w:type="dxa"/>
          </w:tcPr>
          <w:p w14:paraId="22778393" w14:textId="77777777" w:rsidR="00F9174B" w:rsidRDefault="0082774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FF5014"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26AFF984" w14:textId="77777777" w:rsidR="00F9174B" w:rsidRDefault="00827744">
            <w:pPr>
              <w:tabs>
                <w:tab w:val="left" w:pos="567"/>
              </w:tabs>
              <w:spacing w:after="0"/>
              <w:rPr>
                <w:rFonts w:ascii="Arial" w:hAnsi="Arial" w:cs="Arial"/>
              </w:rPr>
            </w:pPr>
            <w:r>
              <w:rPr>
                <w:rFonts w:ascii="Arial" w:hAnsi="Arial" w:cs="Arial"/>
              </w:rPr>
              <w:t>Performance part:</w:t>
            </w:r>
          </w:p>
          <w:p w14:paraId="48040628"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1653" w:type="dxa"/>
          </w:tcPr>
          <w:p w14:paraId="5D6D1820" w14:textId="77777777" w:rsidR="00F9174B" w:rsidRDefault="00827744">
            <w:pPr>
              <w:tabs>
                <w:tab w:val="left" w:pos="567"/>
              </w:tabs>
              <w:spacing w:after="0"/>
              <w:rPr>
                <w:rFonts w:ascii="Arial" w:hAnsi="Arial" w:cs="Arial"/>
              </w:rPr>
            </w:pPr>
            <w:r>
              <w:rPr>
                <w:rFonts w:ascii="Arial" w:hAnsi="Arial" w:cs="Arial"/>
              </w:rPr>
              <w:t>Testing part:</w:t>
            </w:r>
          </w:p>
          <w:p w14:paraId="3D437D89" w14:textId="77777777" w:rsidR="00F9174B" w:rsidRDefault="00827744">
            <w:pPr>
              <w:tabs>
                <w:tab w:val="left" w:pos="567"/>
              </w:tabs>
              <w:spacing w:after="0"/>
              <w:rPr>
                <w:rFonts w:ascii="Arial" w:hAnsi="Arial" w:cs="Arial"/>
                <w:lang w:eastAsia="ja-JP"/>
              </w:rPr>
            </w:pPr>
            <w:r>
              <w:rPr>
                <w:rFonts w:ascii="Arial" w:hAnsi="Arial" w:cs="Arial"/>
                <w:lang w:eastAsia="ja-JP"/>
              </w:rPr>
              <w:t>-</w:t>
            </w:r>
          </w:p>
        </w:tc>
      </w:tr>
      <w:tr w:rsidR="00F9174B" w14:paraId="66368FC7" w14:textId="77777777">
        <w:tc>
          <w:tcPr>
            <w:tcW w:w="2436" w:type="dxa"/>
          </w:tcPr>
          <w:p w14:paraId="183BD384" w14:textId="77777777" w:rsidR="00F9174B" w:rsidRDefault="00827744">
            <w:pPr>
              <w:tabs>
                <w:tab w:val="left" w:pos="567"/>
              </w:tabs>
              <w:spacing w:after="0"/>
              <w:rPr>
                <w:rFonts w:ascii="Arial" w:hAnsi="Arial" w:cs="Arial"/>
                <w:b/>
              </w:rPr>
            </w:pPr>
            <w:r>
              <w:rPr>
                <w:rFonts w:ascii="Arial" w:hAnsi="Arial" w:cs="Arial"/>
                <w:b/>
              </w:rPr>
              <w:t>Acronym</w:t>
            </w:r>
          </w:p>
        </w:tc>
        <w:tc>
          <w:tcPr>
            <w:tcW w:w="7650" w:type="dxa"/>
            <w:gridSpan w:val="5"/>
          </w:tcPr>
          <w:p w14:paraId="4A2E1DB5" w14:textId="77777777" w:rsidR="00F9174B" w:rsidRDefault="00827744">
            <w:pPr>
              <w:tabs>
                <w:tab w:val="left" w:pos="567"/>
              </w:tabs>
              <w:spacing w:after="0"/>
              <w:rPr>
                <w:rFonts w:ascii="Arial" w:hAnsi="Arial" w:cs="Arial"/>
              </w:rPr>
            </w:pPr>
            <w:r>
              <w:rPr>
                <w:rFonts w:ascii="Arial" w:hAnsi="Arial" w:cs="Arial"/>
              </w:rPr>
              <w:t>IoT_NTN_enh</w:t>
            </w:r>
          </w:p>
        </w:tc>
      </w:tr>
      <w:tr w:rsidR="00F9174B" w14:paraId="7303AC41" w14:textId="77777777">
        <w:tc>
          <w:tcPr>
            <w:tcW w:w="2436" w:type="dxa"/>
          </w:tcPr>
          <w:p w14:paraId="5636BC21" w14:textId="77777777" w:rsidR="00F9174B" w:rsidRDefault="00827744">
            <w:pPr>
              <w:tabs>
                <w:tab w:val="left" w:pos="567"/>
              </w:tabs>
              <w:spacing w:after="0"/>
              <w:rPr>
                <w:rFonts w:ascii="Arial" w:hAnsi="Arial" w:cs="Arial"/>
                <w:b/>
              </w:rPr>
            </w:pPr>
            <w:r>
              <w:rPr>
                <w:rFonts w:ascii="Arial" w:hAnsi="Arial" w:cs="Arial"/>
                <w:b/>
              </w:rPr>
              <w:t>Unique ID</w:t>
            </w:r>
          </w:p>
        </w:tc>
        <w:tc>
          <w:tcPr>
            <w:tcW w:w="7650" w:type="dxa"/>
            <w:gridSpan w:val="5"/>
          </w:tcPr>
          <w:p w14:paraId="0CDC1AFA" w14:textId="77777777" w:rsidR="00F9174B" w:rsidRDefault="00827744">
            <w:pPr>
              <w:tabs>
                <w:tab w:val="left" w:pos="567"/>
              </w:tabs>
              <w:spacing w:after="0"/>
              <w:rPr>
                <w:rFonts w:ascii="Arial" w:hAnsi="Arial" w:cs="Arial"/>
                <w:lang w:eastAsia="ja-JP"/>
              </w:rPr>
            </w:pPr>
            <w:r>
              <w:rPr>
                <w:rFonts w:ascii="Arial" w:hAnsi="Arial" w:cs="Arial"/>
                <w:lang w:eastAsia="ja-JP"/>
              </w:rPr>
              <w:t>941004</w:t>
            </w:r>
          </w:p>
        </w:tc>
      </w:tr>
      <w:tr w:rsidR="00F9174B" w14:paraId="08804439" w14:textId="77777777">
        <w:tc>
          <w:tcPr>
            <w:tcW w:w="2436" w:type="dxa"/>
          </w:tcPr>
          <w:p w14:paraId="6EF425BB" w14:textId="77777777" w:rsidR="00F9174B" w:rsidRDefault="0082774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7587B55" w14:textId="77777777" w:rsidR="00F9174B" w:rsidRDefault="00827744">
            <w:pPr>
              <w:tabs>
                <w:tab w:val="left" w:pos="567"/>
              </w:tabs>
              <w:spacing w:after="0"/>
              <w:rPr>
                <w:rFonts w:ascii="Arial" w:hAnsi="Arial" w:cs="Arial"/>
                <w:lang w:eastAsia="ja-JP"/>
              </w:rPr>
            </w:pPr>
            <w:r>
              <w:rPr>
                <w:rFonts w:ascii="Arial" w:hAnsi="Arial" w:cs="Arial"/>
                <w:lang w:eastAsia="ja-JP"/>
              </w:rPr>
              <w:t>RP-220979</w:t>
            </w:r>
          </w:p>
        </w:tc>
      </w:tr>
      <w:tr w:rsidR="00F9174B" w14:paraId="627919DA" w14:textId="77777777">
        <w:tc>
          <w:tcPr>
            <w:tcW w:w="2436" w:type="dxa"/>
          </w:tcPr>
          <w:p w14:paraId="3BC5F81A" w14:textId="77777777" w:rsidR="00F9174B" w:rsidRDefault="00827744">
            <w:pPr>
              <w:tabs>
                <w:tab w:val="left" w:pos="567"/>
              </w:tabs>
              <w:spacing w:after="0"/>
              <w:rPr>
                <w:rFonts w:ascii="Arial" w:hAnsi="Arial" w:cs="Arial"/>
                <w:b/>
              </w:rPr>
            </w:pPr>
            <w:r>
              <w:rPr>
                <w:rFonts w:ascii="Arial" w:hAnsi="Arial" w:cs="Arial"/>
                <w:b/>
              </w:rPr>
              <w:t>Target Completion Date</w:t>
            </w:r>
          </w:p>
          <w:p w14:paraId="34CBDC88" w14:textId="77777777" w:rsidR="00F9174B" w:rsidRDefault="00827744">
            <w:pPr>
              <w:tabs>
                <w:tab w:val="left" w:pos="567"/>
              </w:tabs>
              <w:spacing w:after="0"/>
              <w:rPr>
                <w:rFonts w:ascii="Arial" w:hAnsi="Arial" w:cs="Arial"/>
                <w:b/>
              </w:rPr>
            </w:pPr>
            <w:r>
              <w:rPr>
                <w:rFonts w:ascii="Arial" w:hAnsi="Arial" w:cs="Arial"/>
                <w:b/>
              </w:rPr>
              <w:t>(indicate if changed)</w:t>
            </w:r>
          </w:p>
        </w:tc>
        <w:tc>
          <w:tcPr>
            <w:tcW w:w="1846" w:type="dxa"/>
          </w:tcPr>
          <w:p w14:paraId="0BD81424"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Study Item: </w:t>
            </w:r>
          </w:p>
          <w:p w14:paraId="7B896E89" w14:textId="77777777" w:rsidR="00F9174B" w:rsidRDefault="00F9174B">
            <w:pPr>
              <w:tabs>
                <w:tab w:val="left" w:pos="567"/>
              </w:tabs>
              <w:spacing w:after="0"/>
              <w:rPr>
                <w:rFonts w:ascii="Arial" w:hAnsi="Arial" w:cs="Arial"/>
                <w:lang w:eastAsia="ja-JP"/>
              </w:rPr>
            </w:pPr>
          </w:p>
        </w:tc>
        <w:tc>
          <w:tcPr>
            <w:tcW w:w="1842" w:type="dxa"/>
          </w:tcPr>
          <w:p w14:paraId="62626638" w14:textId="77777777" w:rsidR="00F9174B" w:rsidRDefault="00827744">
            <w:pPr>
              <w:tabs>
                <w:tab w:val="left" w:pos="567"/>
              </w:tabs>
              <w:spacing w:after="0"/>
              <w:rPr>
                <w:rFonts w:ascii="Arial" w:hAnsi="Arial" w:cs="Arial"/>
                <w:lang w:eastAsia="ja-JP"/>
              </w:rPr>
            </w:pPr>
            <w:r>
              <w:rPr>
                <w:rFonts w:ascii="Arial" w:hAnsi="Arial" w:cs="Arial"/>
                <w:lang w:eastAsia="ja-JP"/>
              </w:rPr>
              <w:t>Core part:</w:t>
            </w:r>
          </w:p>
          <w:p w14:paraId="73F8544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09/2023 </w:t>
            </w:r>
          </w:p>
        </w:tc>
        <w:tc>
          <w:tcPr>
            <w:tcW w:w="2268" w:type="dxa"/>
          </w:tcPr>
          <w:p w14:paraId="18C5EAC8"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Performance part: </w:t>
            </w:r>
          </w:p>
          <w:p w14:paraId="7BCCBD1D" w14:textId="77777777" w:rsidR="00F9174B" w:rsidRDefault="00827744">
            <w:pPr>
              <w:tabs>
                <w:tab w:val="left" w:pos="567"/>
              </w:tabs>
              <w:spacing w:after="0"/>
              <w:rPr>
                <w:rFonts w:ascii="Arial" w:hAnsi="Arial" w:cs="Arial"/>
                <w:lang w:eastAsia="ja-JP"/>
              </w:rPr>
            </w:pPr>
            <w:r>
              <w:rPr>
                <w:rFonts w:ascii="Arial" w:hAnsi="Arial" w:cs="Arial"/>
                <w:lang w:eastAsia="ja-JP"/>
              </w:rPr>
              <w:t>12/2023</w:t>
            </w:r>
          </w:p>
        </w:tc>
        <w:tc>
          <w:tcPr>
            <w:tcW w:w="1694" w:type="dxa"/>
            <w:gridSpan w:val="2"/>
          </w:tcPr>
          <w:p w14:paraId="78800628"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Testing part: -</w:t>
            </w:r>
          </w:p>
        </w:tc>
      </w:tr>
      <w:tr w:rsidR="00F9174B" w14:paraId="4E15555E" w14:textId="77777777">
        <w:tc>
          <w:tcPr>
            <w:tcW w:w="2436" w:type="dxa"/>
          </w:tcPr>
          <w:p w14:paraId="5AE19AA2" w14:textId="77777777" w:rsidR="00F9174B" w:rsidRDefault="00827744">
            <w:pPr>
              <w:tabs>
                <w:tab w:val="left" w:pos="567"/>
              </w:tabs>
              <w:spacing w:after="0"/>
              <w:rPr>
                <w:rFonts w:ascii="Arial" w:hAnsi="Arial" w:cs="Arial"/>
                <w:b/>
              </w:rPr>
            </w:pPr>
            <w:r>
              <w:rPr>
                <w:rFonts w:ascii="Arial" w:hAnsi="Arial" w:cs="Arial"/>
                <w:b/>
              </w:rPr>
              <w:t>Overall Completion level</w:t>
            </w:r>
          </w:p>
        </w:tc>
        <w:tc>
          <w:tcPr>
            <w:tcW w:w="1846" w:type="dxa"/>
          </w:tcPr>
          <w:p w14:paraId="1BF61BE9" w14:textId="77777777" w:rsidR="00F9174B" w:rsidRDefault="0082774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B997211" w14:textId="77777777" w:rsidR="00F9174B" w:rsidRDefault="00F9174B">
            <w:pPr>
              <w:tabs>
                <w:tab w:val="left" w:pos="567"/>
              </w:tabs>
              <w:spacing w:after="0"/>
              <w:rPr>
                <w:rFonts w:ascii="Arial" w:hAnsi="Arial" w:cs="Arial"/>
                <w:color w:val="00B050"/>
                <w:lang w:eastAsia="ja-JP"/>
              </w:rPr>
            </w:pPr>
          </w:p>
        </w:tc>
        <w:tc>
          <w:tcPr>
            <w:tcW w:w="1842" w:type="dxa"/>
          </w:tcPr>
          <w:p w14:paraId="58B9C76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Core part: </w:t>
            </w:r>
          </w:p>
          <w:p w14:paraId="6A2369FF" w14:textId="77777777"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Overall: 10%</w:t>
            </w:r>
          </w:p>
          <w:p w14:paraId="6BA64296" w14:textId="77777777" w:rsidR="00F9174B" w:rsidRDefault="00F9174B">
            <w:pPr>
              <w:tabs>
                <w:tab w:val="left" w:pos="567"/>
              </w:tabs>
              <w:spacing w:after="0"/>
              <w:rPr>
                <w:rFonts w:ascii="Arial" w:hAnsi="Arial" w:cs="Arial"/>
                <w:color w:val="00B050"/>
                <w:lang w:eastAsia="ja-JP"/>
              </w:rPr>
            </w:pPr>
          </w:p>
          <w:p w14:paraId="6455645C" w14:textId="77777777" w:rsidR="00F9174B" w:rsidRDefault="00827744">
            <w:pPr>
              <w:tabs>
                <w:tab w:val="left" w:pos="567"/>
              </w:tabs>
              <w:spacing w:after="0"/>
              <w:rPr>
                <w:rFonts w:ascii="Arial" w:hAnsi="Arial" w:cs="Arial"/>
                <w:lang w:eastAsia="ja-JP"/>
              </w:rPr>
            </w:pPr>
            <w:r>
              <w:rPr>
                <w:rFonts w:ascii="Arial" w:hAnsi="Arial" w:cs="Arial"/>
                <w:lang w:eastAsia="ja-JP"/>
              </w:rPr>
              <w:t>For information</w:t>
            </w:r>
          </w:p>
          <w:p w14:paraId="3AF7FE9B" w14:textId="510CA944"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RAN1: </w:t>
            </w:r>
            <w:r w:rsidR="00CF2F36">
              <w:rPr>
                <w:rFonts w:ascii="Arial" w:hAnsi="Arial" w:cs="Arial"/>
                <w:color w:val="00B050"/>
                <w:lang w:eastAsia="ja-JP"/>
              </w:rPr>
              <w:t>2</w:t>
            </w:r>
            <w:r>
              <w:rPr>
                <w:rFonts w:ascii="Arial" w:hAnsi="Arial" w:cs="Arial"/>
                <w:color w:val="00B050"/>
                <w:lang w:eastAsia="ja-JP"/>
              </w:rPr>
              <w:t xml:space="preserve">0% </w:t>
            </w:r>
          </w:p>
          <w:p w14:paraId="56EF4A56" w14:textId="77777777"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RAN2: 10%</w:t>
            </w:r>
          </w:p>
          <w:p w14:paraId="3503B0C4" w14:textId="10B8E5E1" w:rsidR="00F9174B" w:rsidRDefault="00827744">
            <w:pPr>
              <w:tabs>
                <w:tab w:val="left" w:pos="567"/>
              </w:tabs>
              <w:spacing w:after="0"/>
              <w:rPr>
                <w:rFonts w:ascii="Arial" w:hAnsi="Arial" w:cs="Arial"/>
                <w:color w:val="00B050"/>
                <w:lang w:eastAsia="ja-JP"/>
              </w:rPr>
            </w:pPr>
            <w:r w:rsidRPr="00DB2CB7">
              <w:rPr>
                <w:rFonts w:ascii="Arial" w:hAnsi="Arial" w:cs="Arial"/>
                <w:color w:val="00B050"/>
                <w:lang w:eastAsia="ja-JP"/>
              </w:rPr>
              <w:t xml:space="preserve">RAN3: </w:t>
            </w:r>
            <w:r w:rsidRPr="00DB2CB7">
              <w:rPr>
                <w:rFonts w:ascii="Arial" w:eastAsia="SimSun" w:hAnsi="Arial" w:cs="Arial" w:hint="eastAsia"/>
                <w:color w:val="00B050"/>
                <w:lang w:val="en-US" w:eastAsia="zh-CN"/>
              </w:rPr>
              <w:t>5</w:t>
            </w:r>
            <w:r w:rsidRPr="00DB2CB7">
              <w:rPr>
                <w:rFonts w:ascii="Arial" w:hAnsi="Arial" w:cs="Arial"/>
                <w:color w:val="00B050"/>
                <w:lang w:eastAsia="ja-JP"/>
              </w:rPr>
              <w:t>%</w:t>
            </w:r>
          </w:p>
          <w:p w14:paraId="69A11BC7" w14:textId="77777777"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RAN4: 0%</w:t>
            </w:r>
          </w:p>
        </w:tc>
        <w:tc>
          <w:tcPr>
            <w:tcW w:w="2268" w:type="dxa"/>
          </w:tcPr>
          <w:p w14:paraId="786175FC" w14:textId="2520FA2B" w:rsidR="00CF2F36" w:rsidRPr="00905977" w:rsidRDefault="00827744" w:rsidP="00CF2F36">
            <w:pPr>
              <w:tabs>
                <w:tab w:val="left" w:pos="567"/>
              </w:tabs>
              <w:spacing w:after="0"/>
              <w:rPr>
                <w:rFonts w:ascii="Arial" w:hAnsi="Arial" w:cs="Arial"/>
                <w:lang w:eastAsia="ja-JP"/>
              </w:rPr>
            </w:pPr>
            <w:r>
              <w:rPr>
                <w:rFonts w:ascii="Arial" w:hAnsi="Arial" w:cs="Arial"/>
                <w:lang w:eastAsia="ja-JP"/>
              </w:rPr>
              <w:t xml:space="preserve">Performance Part: </w:t>
            </w:r>
            <w:r w:rsidR="00CF2F36">
              <w:rPr>
                <w:rFonts w:ascii="Arial" w:hAnsi="Arial" w:cs="Arial"/>
                <w:color w:val="00B050"/>
                <w:lang w:eastAsia="ja-JP"/>
              </w:rPr>
              <w:t>0%</w:t>
            </w:r>
          </w:p>
          <w:p w14:paraId="5830AEDD" w14:textId="4A487696" w:rsidR="00F9174B" w:rsidRDefault="00F9174B">
            <w:pPr>
              <w:tabs>
                <w:tab w:val="left" w:pos="567"/>
              </w:tabs>
              <w:spacing w:after="0"/>
              <w:rPr>
                <w:rFonts w:ascii="Arial" w:hAnsi="Arial" w:cs="Arial"/>
                <w:lang w:eastAsia="ja-JP"/>
              </w:rPr>
            </w:pPr>
          </w:p>
        </w:tc>
        <w:tc>
          <w:tcPr>
            <w:tcW w:w="1694" w:type="dxa"/>
            <w:gridSpan w:val="2"/>
          </w:tcPr>
          <w:p w14:paraId="5EB12CEC"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378C5C0" w14:textId="77777777" w:rsidR="00F9174B" w:rsidRDefault="00827744">
      <w:pPr>
        <w:tabs>
          <w:tab w:val="left" w:pos="567"/>
        </w:tabs>
        <w:spacing w:after="0"/>
        <w:rPr>
          <w:rFonts w:ascii="Arial" w:hAnsi="Arial" w:cs="Arial"/>
        </w:rPr>
      </w:pPr>
      <w:r>
        <w:rPr>
          <w:rFonts w:ascii="Arial" w:hAnsi="Arial" w:cs="Arial"/>
        </w:rPr>
        <w:t>Note: Overall completion level percentage numbers should use one of the colors below:</w:t>
      </w:r>
    </w:p>
    <w:p w14:paraId="6B471EFB" w14:textId="77777777" w:rsidR="00F9174B" w:rsidRDefault="00827744">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27C60EC" w14:textId="77777777" w:rsidR="00F9174B" w:rsidRDefault="00827744">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9EFA34" w14:textId="77777777" w:rsidR="00F9174B" w:rsidRDefault="00827744">
      <w:pPr>
        <w:pStyle w:val="ListParagraph"/>
        <w:numPr>
          <w:ilvl w:val="0"/>
          <w:numId w:val="7"/>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5F166C6" w14:textId="77777777" w:rsidR="00F9174B" w:rsidRDefault="00F9174B">
      <w:pPr>
        <w:pStyle w:val="ListParagraph"/>
        <w:tabs>
          <w:tab w:val="left" w:pos="567"/>
        </w:tabs>
        <w:ind w:leftChars="0" w:left="924"/>
        <w:rPr>
          <w:rFonts w:ascii="Arial" w:hAnsi="Arial" w:cs="Arial"/>
          <w:color w:val="FF0000"/>
        </w:rPr>
      </w:pPr>
    </w:p>
    <w:p w14:paraId="39007127" w14:textId="77777777" w:rsidR="00F9174B" w:rsidRDefault="00827744">
      <w:pPr>
        <w:tabs>
          <w:tab w:val="left" w:pos="567"/>
        </w:tabs>
        <w:spacing w:after="60"/>
        <w:rPr>
          <w:rFonts w:ascii="Arial" w:hAnsi="Arial" w:cs="Arial"/>
          <w:b/>
        </w:rPr>
      </w:pPr>
      <w:r>
        <w:rPr>
          <w:rFonts w:ascii="Arial" w:hAnsi="Arial" w:cs="Arial"/>
          <w:b/>
        </w:rPr>
        <w:t>Source:</w:t>
      </w:r>
    </w:p>
    <w:p w14:paraId="6101B9FC" w14:textId="77777777" w:rsidR="00F9174B" w:rsidRDefault="00F9174B">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F9174B" w14:paraId="421C890E" w14:textId="77777777">
        <w:tc>
          <w:tcPr>
            <w:tcW w:w="2748" w:type="dxa"/>
            <w:gridSpan w:val="2"/>
          </w:tcPr>
          <w:p w14:paraId="1A48EA11" w14:textId="77777777" w:rsidR="00F9174B" w:rsidRDefault="00827744">
            <w:pPr>
              <w:tabs>
                <w:tab w:val="left" w:pos="567"/>
              </w:tabs>
              <w:spacing w:after="0"/>
              <w:rPr>
                <w:rFonts w:ascii="Arial" w:hAnsi="Arial" w:cs="Arial"/>
                <w:b/>
              </w:rPr>
            </w:pPr>
            <w:r>
              <w:rPr>
                <w:rFonts w:ascii="Arial" w:hAnsi="Arial" w:cs="Arial"/>
                <w:b/>
              </w:rPr>
              <w:t>Leading WG</w:t>
            </w:r>
          </w:p>
        </w:tc>
        <w:tc>
          <w:tcPr>
            <w:tcW w:w="7338" w:type="dxa"/>
          </w:tcPr>
          <w:p w14:paraId="7A4848C4" w14:textId="77777777" w:rsidR="00F9174B" w:rsidRDefault="00827744">
            <w:pPr>
              <w:tabs>
                <w:tab w:val="left" w:pos="567"/>
              </w:tabs>
              <w:spacing w:after="0"/>
              <w:rPr>
                <w:rFonts w:ascii="Arial" w:hAnsi="Arial" w:cs="Arial"/>
                <w:color w:val="FF0000"/>
              </w:rPr>
            </w:pPr>
            <w:r>
              <w:rPr>
                <w:rFonts w:ascii="Arial" w:hAnsi="Arial" w:cs="Arial"/>
              </w:rPr>
              <w:t>RAN2</w:t>
            </w:r>
          </w:p>
        </w:tc>
      </w:tr>
      <w:tr w:rsidR="00F9174B" w14:paraId="0A3884EE" w14:textId="77777777">
        <w:tc>
          <w:tcPr>
            <w:tcW w:w="1415" w:type="dxa"/>
            <w:vMerge w:val="restart"/>
            <w:vAlign w:val="center"/>
          </w:tcPr>
          <w:p w14:paraId="5BC2AFAE" w14:textId="77777777" w:rsidR="00F9174B" w:rsidRDefault="00827744">
            <w:pPr>
              <w:tabs>
                <w:tab w:val="left" w:pos="567"/>
              </w:tabs>
              <w:rPr>
                <w:rFonts w:ascii="Arial" w:hAnsi="Arial" w:cs="Arial"/>
                <w:b/>
              </w:rPr>
            </w:pPr>
            <w:r>
              <w:rPr>
                <w:rFonts w:ascii="Arial" w:hAnsi="Arial" w:cs="Arial"/>
                <w:b/>
              </w:rPr>
              <w:t>Rapporteur</w:t>
            </w:r>
          </w:p>
        </w:tc>
        <w:tc>
          <w:tcPr>
            <w:tcW w:w="1333" w:type="dxa"/>
          </w:tcPr>
          <w:p w14:paraId="56DA9EFF" w14:textId="77777777" w:rsidR="00F9174B" w:rsidRDefault="00827744">
            <w:pPr>
              <w:tabs>
                <w:tab w:val="left" w:pos="567"/>
              </w:tabs>
              <w:spacing w:after="0"/>
              <w:rPr>
                <w:rFonts w:ascii="Arial" w:hAnsi="Arial" w:cs="Arial"/>
                <w:b/>
              </w:rPr>
            </w:pPr>
            <w:r>
              <w:rPr>
                <w:rFonts w:ascii="Arial" w:hAnsi="Arial" w:cs="Arial"/>
                <w:b/>
              </w:rPr>
              <w:t>Name</w:t>
            </w:r>
          </w:p>
        </w:tc>
        <w:tc>
          <w:tcPr>
            <w:tcW w:w="7338" w:type="dxa"/>
          </w:tcPr>
          <w:p w14:paraId="1C126EFC" w14:textId="77777777" w:rsidR="00F9174B" w:rsidRDefault="00827744">
            <w:pPr>
              <w:tabs>
                <w:tab w:val="left" w:pos="567"/>
              </w:tabs>
              <w:spacing w:after="0"/>
              <w:rPr>
                <w:rFonts w:ascii="Arial" w:hAnsi="Arial" w:cs="Arial"/>
                <w:lang w:eastAsia="ja-JP"/>
              </w:rPr>
            </w:pPr>
            <w:r>
              <w:rPr>
                <w:rFonts w:ascii="Arial" w:hAnsi="Arial" w:cs="Arial"/>
                <w:lang w:eastAsia="ja-JP"/>
              </w:rPr>
              <w:t>Abhishek Roy</w:t>
            </w:r>
          </w:p>
        </w:tc>
      </w:tr>
      <w:tr w:rsidR="00F9174B" w14:paraId="226F194F" w14:textId="77777777">
        <w:tc>
          <w:tcPr>
            <w:tcW w:w="1415" w:type="dxa"/>
            <w:vMerge/>
          </w:tcPr>
          <w:p w14:paraId="35504799" w14:textId="77777777" w:rsidR="00F9174B" w:rsidRDefault="00F9174B">
            <w:pPr>
              <w:tabs>
                <w:tab w:val="left" w:pos="567"/>
              </w:tabs>
              <w:rPr>
                <w:rFonts w:ascii="Arial" w:hAnsi="Arial" w:cs="Arial"/>
                <w:b/>
              </w:rPr>
            </w:pPr>
          </w:p>
        </w:tc>
        <w:tc>
          <w:tcPr>
            <w:tcW w:w="1333" w:type="dxa"/>
          </w:tcPr>
          <w:p w14:paraId="63D787B4" w14:textId="77777777" w:rsidR="00F9174B" w:rsidRDefault="00827744">
            <w:pPr>
              <w:tabs>
                <w:tab w:val="left" w:pos="567"/>
              </w:tabs>
              <w:spacing w:after="0"/>
              <w:rPr>
                <w:rFonts w:ascii="Arial" w:hAnsi="Arial" w:cs="Arial"/>
                <w:b/>
              </w:rPr>
            </w:pPr>
            <w:r>
              <w:rPr>
                <w:rFonts w:ascii="Arial" w:hAnsi="Arial" w:cs="Arial"/>
                <w:b/>
              </w:rPr>
              <w:t>Company</w:t>
            </w:r>
          </w:p>
        </w:tc>
        <w:tc>
          <w:tcPr>
            <w:tcW w:w="7338" w:type="dxa"/>
          </w:tcPr>
          <w:p w14:paraId="5E7DFD66" w14:textId="77777777" w:rsidR="00F9174B" w:rsidRDefault="00827744">
            <w:pPr>
              <w:tabs>
                <w:tab w:val="left" w:pos="567"/>
              </w:tabs>
              <w:spacing w:after="0"/>
              <w:rPr>
                <w:rFonts w:ascii="Arial" w:hAnsi="Arial" w:cs="Arial"/>
                <w:lang w:eastAsia="ja-JP"/>
              </w:rPr>
            </w:pPr>
            <w:r>
              <w:rPr>
                <w:rFonts w:ascii="Arial" w:hAnsi="Arial" w:cs="Arial"/>
                <w:lang w:eastAsia="ja-JP"/>
              </w:rPr>
              <w:t>MediaTek</w:t>
            </w:r>
          </w:p>
        </w:tc>
      </w:tr>
      <w:tr w:rsidR="00F9174B" w14:paraId="745CBEB4" w14:textId="77777777">
        <w:tc>
          <w:tcPr>
            <w:tcW w:w="1415" w:type="dxa"/>
            <w:vMerge/>
          </w:tcPr>
          <w:p w14:paraId="1B2AAAB7" w14:textId="77777777" w:rsidR="00F9174B" w:rsidRDefault="00F9174B">
            <w:pPr>
              <w:tabs>
                <w:tab w:val="left" w:pos="567"/>
              </w:tabs>
              <w:rPr>
                <w:rFonts w:ascii="Arial" w:hAnsi="Arial" w:cs="Arial"/>
                <w:b/>
              </w:rPr>
            </w:pPr>
          </w:p>
        </w:tc>
        <w:tc>
          <w:tcPr>
            <w:tcW w:w="1333" w:type="dxa"/>
          </w:tcPr>
          <w:p w14:paraId="4EE3FF1A" w14:textId="77777777" w:rsidR="00F9174B" w:rsidRDefault="00827744">
            <w:pPr>
              <w:tabs>
                <w:tab w:val="left" w:pos="567"/>
              </w:tabs>
              <w:spacing w:after="0"/>
              <w:rPr>
                <w:rFonts w:ascii="Arial" w:hAnsi="Arial" w:cs="Arial"/>
                <w:b/>
              </w:rPr>
            </w:pPr>
            <w:r>
              <w:rPr>
                <w:rFonts w:ascii="Arial" w:hAnsi="Arial" w:cs="Arial"/>
                <w:b/>
              </w:rPr>
              <w:t>Email</w:t>
            </w:r>
          </w:p>
        </w:tc>
        <w:tc>
          <w:tcPr>
            <w:tcW w:w="7338" w:type="dxa"/>
          </w:tcPr>
          <w:p w14:paraId="1BBE735F" w14:textId="77777777" w:rsidR="00F9174B" w:rsidRDefault="00130D7E">
            <w:hyperlink r:id="rId12" w:history="1">
              <w:r w:rsidR="00827744">
                <w:rPr>
                  <w:rStyle w:val="Hyperlink"/>
                </w:rPr>
                <w:t>abhishek.roy@mediatek.com</w:t>
              </w:r>
            </w:hyperlink>
            <w:r w:rsidR="00827744">
              <w:t xml:space="preserve"> </w:t>
            </w:r>
          </w:p>
        </w:tc>
      </w:tr>
      <w:tr w:rsidR="00F9174B" w14:paraId="0D309B4D" w14:textId="77777777">
        <w:tc>
          <w:tcPr>
            <w:tcW w:w="2748" w:type="dxa"/>
            <w:gridSpan w:val="2"/>
          </w:tcPr>
          <w:p w14:paraId="250CEC43" w14:textId="77777777" w:rsidR="00F9174B" w:rsidRDefault="00827744">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BD09D54" w14:textId="77777777" w:rsidR="00F9174B" w:rsidRDefault="00827744">
            <w:pPr>
              <w:tabs>
                <w:tab w:val="left" w:pos="567"/>
              </w:tabs>
              <w:spacing w:after="0"/>
              <w:rPr>
                <w:rFonts w:ascii="Arial" w:hAnsi="Arial" w:cs="Arial"/>
              </w:rPr>
            </w:pPr>
            <w:r>
              <w:rPr>
                <w:rFonts w:ascii="Arial" w:hAnsi="Arial" w:cs="Arial"/>
              </w:rPr>
              <w:t>RAN2</w:t>
            </w:r>
          </w:p>
        </w:tc>
      </w:tr>
    </w:tbl>
    <w:p w14:paraId="1CC28F26" w14:textId="77777777" w:rsidR="00F9174B" w:rsidRDefault="00F9174B">
      <w:pPr>
        <w:pBdr>
          <w:bottom w:val="single" w:sz="4" w:space="1" w:color="auto"/>
        </w:pBdr>
        <w:rPr>
          <w:rFonts w:ascii="Arial" w:hAnsi="Arial" w:cs="Arial"/>
        </w:rPr>
      </w:pPr>
    </w:p>
    <w:p w14:paraId="6EFA64CA" w14:textId="77777777" w:rsidR="00F9174B" w:rsidRDefault="00F9174B">
      <w:pPr>
        <w:pBdr>
          <w:bottom w:val="single" w:sz="4" w:space="1" w:color="auto"/>
        </w:pBdr>
        <w:rPr>
          <w:rFonts w:ascii="Arial" w:hAnsi="Arial" w:cs="Arial"/>
        </w:rPr>
      </w:pPr>
    </w:p>
    <w:p w14:paraId="16F99E3C" w14:textId="77777777" w:rsidR="00F9174B" w:rsidRDefault="0082774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9174B" w14:paraId="226E41FF" w14:textId="77777777">
        <w:trPr>
          <w:jc w:val="center"/>
        </w:trPr>
        <w:tc>
          <w:tcPr>
            <w:tcW w:w="6185" w:type="dxa"/>
            <w:shd w:val="clear" w:color="auto" w:fill="E0E0E0"/>
          </w:tcPr>
          <w:p w14:paraId="0138193A" w14:textId="77777777" w:rsidR="00F9174B" w:rsidRDefault="00827744">
            <w:pPr>
              <w:pStyle w:val="TAL"/>
              <w:jc w:val="center"/>
              <w:rPr>
                <w:b/>
                <w:bCs/>
              </w:rPr>
            </w:pPr>
            <w:r>
              <w:rPr>
                <w:b/>
                <w:bCs/>
              </w:rPr>
              <w:t>Do you want to modify the time budget for this WI/SI compared to what was endorsed at the last RAN meeting?</w:t>
            </w:r>
          </w:p>
        </w:tc>
        <w:tc>
          <w:tcPr>
            <w:tcW w:w="1037" w:type="dxa"/>
            <w:vAlign w:val="center"/>
          </w:tcPr>
          <w:p w14:paraId="602C66BD" w14:textId="77777777" w:rsidR="00F9174B" w:rsidRDefault="00827744">
            <w:pPr>
              <w:pStyle w:val="TAL"/>
              <w:jc w:val="center"/>
              <w:rPr>
                <w:color w:val="FF0000"/>
                <w:lang w:eastAsia="ja-JP"/>
              </w:rPr>
            </w:pPr>
            <w:r>
              <w:rPr>
                <w:color w:val="000000" w:themeColor="text1"/>
                <w:lang w:eastAsia="ja-JP"/>
              </w:rPr>
              <w:t>No</w:t>
            </w:r>
          </w:p>
        </w:tc>
      </w:tr>
    </w:tbl>
    <w:p w14:paraId="7AE690B3" w14:textId="77777777" w:rsidR="00F9174B" w:rsidRDefault="00F9174B">
      <w:pPr>
        <w:spacing w:after="0"/>
        <w:rPr>
          <w:rFonts w:ascii="Arial" w:hAnsi="Arial" w:cs="Arial"/>
        </w:rPr>
      </w:pPr>
    </w:p>
    <w:p w14:paraId="7A4A24A6" w14:textId="77777777" w:rsidR="00F9174B" w:rsidRDefault="0082774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96CFDCD" w14:textId="77777777" w:rsidR="00F9174B" w:rsidRDefault="0082774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55160F0" w14:textId="77777777" w:rsidR="00F9174B" w:rsidRDefault="00827744">
      <w:pPr>
        <w:spacing w:after="0"/>
        <w:rPr>
          <w:rFonts w:ascii="Arial" w:hAnsi="Arial" w:cs="Arial"/>
          <w:b/>
        </w:rPr>
      </w:pPr>
      <w:r>
        <w:rPr>
          <w:rFonts w:ascii="Arial" w:hAnsi="Arial" w:cs="Arial"/>
          <w:b/>
        </w:rPr>
        <w:lastRenderedPageBreak/>
        <w:t>Additional explanations/motivations for the time budget changes in the attached Excel table:</w:t>
      </w:r>
    </w:p>
    <w:p w14:paraId="0E00AB43" w14:textId="77777777" w:rsidR="00F9174B" w:rsidRDefault="00F9174B">
      <w:pPr>
        <w:spacing w:after="0"/>
        <w:rPr>
          <w:rFonts w:ascii="Arial" w:hAnsi="Arial" w:cs="Arial"/>
        </w:rPr>
      </w:pPr>
    </w:p>
    <w:p w14:paraId="4AB6D52C" w14:textId="77777777" w:rsidR="00F9174B" w:rsidRDefault="00F9174B">
      <w:pPr>
        <w:spacing w:after="0"/>
        <w:rPr>
          <w:rFonts w:ascii="Arial" w:hAnsi="Arial" w:cs="Arial"/>
          <w:color w:val="FF0000"/>
        </w:rPr>
      </w:pPr>
    </w:p>
    <w:p w14:paraId="631CDCC9" w14:textId="77777777" w:rsidR="00F9174B" w:rsidRDefault="00827744">
      <w:pPr>
        <w:pStyle w:val="Heading2"/>
      </w:pPr>
      <w:r>
        <w:t>2.</w:t>
      </w:r>
      <w:r>
        <w:tab/>
        <w:t>Detailed progress in RAN WGs since last TSG meeting (for all involved WGs)</w:t>
      </w:r>
    </w:p>
    <w:p w14:paraId="654F091F" w14:textId="77777777" w:rsidR="00F9174B" w:rsidRDefault="00827744">
      <w:pPr>
        <w:rPr>
          <w:rFonts w:ascii="Arial" w:hAnsi="Arial" w:cs="Arial"/>
        </w:rPr>
      </w:pPr>
      <w:r>
        <w:tab/>
      </w:r>
      <w:r>
        <w:rPr>
          <w:rFonts w:ascii="Arial" w:hAnsi="Arial" w:cs="Arial"/>
          <w:color w:val="FF0000"/>
        </w:rPr>
        <w:t>NOTE: Agreements and Open issues impacted cross-TSG aspects shall be explicitly highlighted</w:t>
      </w:r>
    </w:p>
    <w:p w14:paraId="241DDF01" w14:textId="77777777" w:rsidR="00F9174B" w:rsidRDefault="00827744">
      <w:pPr>
        <w:pStyle w:val="Heading2"/>
        <w:keepNext w:val="0"/>
        <w:rPr>
          <w:lang w:eastAsia="ja-JP"/>
        </w:rPr>
      </w:pPr>
      <w:r>
        <w:rPr>
          <w:lang w:eastAsia="ja-JP"/>
        </w:rPr>
        <w:t>2.1</w:t>
      </w:r>
      <w:r>
        <w:rPr>
          <w:lang w:eastAsia="ja-JP"/>
        </w:rPr>
        <w:tab/>
      </w:r>
      <w:r>
        <w:rPr>
          <w:rFonts w:hint="eastAsia"/>
          <w:lang w:eastAsia="ja-JP"/>
        </w:rPr>
        <w:t>RAN1</w:t>
      </w:r>
    </w:p>
    <w:p w14:paraId="2900DCB1" w14:textId="77777777" w:rsidR="00F9174B" w:rsidRDefault="00827744">
      <w:pPr>
        <w:pStyle w:val="Heading4"/>
        <w:keepNext w:val="0"/>
        <w:rPr>
          <w:lang w:eastAsia="ja-JP"/>
        </w:rPr>
      </w:pPr>
      <w:r>
        <w:rPr>
          <w:lang w:eastAsia="ja-JP"/>
        </w:rPr>
        <w:t>2.1.1</w:t>
      </w:r>
      <w:r>
        <w:rPr>
          <w:lang w:eastAsia="ja-JP"/>
        </w:rPr>
        <w:tab/>
        <w:t>Agreements</w:t>
      </w:r>
    </w:p>
    <w:p w14:paraId="211F360A" w14:textId="77777777" w:rsidR="00F9174B" w:rsidRDefault="00F9174B">
      <w:pPr>
        <w:rPr>
          <w:lang w:eastAsia="ja-JP"/>
        </w:rPr>
      </w:pPr>
    </w:p>
    <w:p w14:paraId="4568D8E7" w14:textId="77777777" w:rsidR="00F9174B" w:rsidRDefault="00827744">
      <w:pPr>
        <w:outlineLvl w:val="5"/>
        <w:rPr>
          <w:rFonts w:ascii="Arial" w:hAnsi="Arial" w:cs="Arial"/>
          <w:b/>
          <w:lang w:eastAsia="en-US"/>
        </w:rPr>
      </w:pPr>
      <w:r>
        <w:rPr>
          <w:rFonts w:ascii="Arial" w:hAnsi="Arial" w:cs="Arial"/>
          <w:b/>
          <w:lang w:eastAsia="en-US"/>
        </w:rPr>
        <w:t>RAN1#110, August 22nd – 26th, 2022, Toulouse, France</w:t>
      </w:r>
    </w:p>
    <w:p w14:paraId="6255E364" w14:textId="77777777" w:rsidR="00F9174B" w:rsidRDefault="00F9174B">
      <w:pPr>
        <w:rPr>
          <w:lang w:eastAsia="ja-JP"/>
        </w:rPr>
      </w:pPr>
    </w:p>
    <w:p w14:paraId="14016C7D" w14:textId="77777777" w:rsidR="00F9174B" w:rsidRDefault="00827744">
      <w:pPr>
        <w:rPr>
          <w:b/>
          <w:lang w:eastAsia="ja-JP"/>
        </w:rPr>
      </w:pPr>
      <w:r>
        <w:rPr>
          <w:rFonts w:ascii="Arial" w:hAnsi="Arial" w:cs="Arial"/>
          <w:b/>
          <w:u w:val="single"/>
          <w:lang w:eastAsia="ja-JP"/>
        </w:rPr>
        <w:t>Agreements on “9.12.3 Disabling of HARQ feedback for IoT NTN”</w:t>
      </w:r>
    </w:p>
    <w:p w14:paraId="15ABC63D" w14:textId="77777777" w:rsidR="00F9174B" w:rsidRDefault="00F9174B">
      <w:pPr>
        <w:pStyle w:val="NormalWeb"/>
        <w:spacing w:before="0" w:beforeAutospacing="0" w:after="0" w:afterAutospacing="0"/>
        <w:rPr>
          <w:rFonts w:ascii="Arial" w:hAnsi="Arial" w:cs="Arial"/>
          <w:color w:val="000000"/>
          <w:sz w:val="20"/>
          <w:szCs w:val="20"/>
          <w:u w:val="single"/>
        </w:rPr>
      </w:pPr>
    </w:p>
    <w:p w14:paraId="79E0C8EE" w14:textId="77777777" w:rsidR="00F9174B" w:rsidRDefault="00827744">
      <w:pPr>
        <w:rPr>
          <w:rFonts w:ascii="Arial" w:hAnsi="Arial" w:cs="Arial"/>
          <w:lang w:val="en-US" w:eastAsia="zh-CN"/>
        </w:rPr>
      </w:pPr>
      <w:r>
        <w:rPr>
          <w:rFonts w:ascii="Arial" w:hAnsi="Arial" w:cs="Arial"/>
          <w:lang w:val="en-US" w:eastAsia="zh-CN"/>
        </w:rPr>
        <w:t>For eMTC NTN, to configure/indicate enabling/disabling of HARQ feedback for downlink transmission, down select one or more from the following options:</w:t>
      </w:r>
    </w:p>
    <w:p w14:paraId="3F894A32" w14:textId="77777777" w:rsidR="00F9174B" w:rsidRDefault="00827744">
      <w:pPr>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1: per HARQ process via UE specific RRC signaling.</w:t>
      </w:r>
    </w:p>
    <w:p w14:paraId="10F04432" w14:textId="77777777" w:rsidR="00F9174B" w:rsidRDefault="00827744">
      <w:pPr>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3: explicitly indicated by DCI (e.g., new field or reusing existing field).</w:t>
      </w:r>
    </w:p>
    <w:p w14:paraId="6C74F872" w14:textId="77777777" w:rsidR="00F9174B" w:rsidRDefault="00827744">
      <w:pPr>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4: implicitly indicated by existing configured/indicated/combined parameter(s) in the DCI (e.g., repetition number, TBS)</w:t>
      </w:r>
    </w:p>
    <w:p w14:paraId="5E6C15CA" w14:textId="77777777" w:rsidR="00F9174B" w:rsidRDefault="00827744">
      <w:pPr>
        <w:numPr>
          <w:ilvl w:val="0"/>
          <w:numId w:val="8"/>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6: combinations of some options above.</w:t>
      </w:r>
    </w:p>
    <w:p w14:paraId="738CC145" w14:textId="77777777" w:rsidR="00F9174B" w:rsidRDefault="00F9174B">
      <w:pPr>
        <w:rPr>
          <w:lang w:eastAsia="zh-CN"/>
        </w:rPr>
      </w:pPr>
    </w:p>
    <w:p w14:paraId="79DF5A91" w14:textId="77777777" w:rsidR="00F9174B" w:rsidRDefault="00827744">
      <w:pPr>
        <w:rPr>
          <w:rFonts w:ascii="Arial" w:hAnsi="Arial" w:cs="Arial"/>
          <w:b/>
          <w:bCs/>
          <w:iCs/>
          <w:lang w:val="en-US" w:eastAsia="zh-CN"/>
        </w:rPr>
      </w:pPr>
      <w:r>
        <w:rPr>
          <w:rFonts w:ascii="Arial" w:hAnsi="Arial" w:cs="Arial"/>
          <w:b/>
          <w:bCs/>
          <w:iCs/>
          <w:highlight w:val="green"/>
          <w:lang w:val="en-US" w:eastAsia="zh-CN"/>
        </w:rPr>
        <w:t>Agreement</w:t>
      </w:r>
    </w:p>
    <w:p w14:paraId="08A2591A" w14:textId="77777777" w:rsidR="00F9174B" w:rsidRDefault="00827744">
      <w:pPr>
        <w:pStyle w:val="ListParagraph"/>
        <w:numPr>
          <w:ilvl w:val="0"/>
          <w:numId w:val="9"/>
        </w:numPr>
        <w:ind w:leftChars="0"/>
        <w:rPr>
          <w:rFonts w:ascii="Arial" w:hAnsi="Arial" w:cs="Arial"/>
          <w:lang w:eastAsia="zh-CN"/>
        </w:rPr>
      </w:pPr>
      <w:r>
        <w:rPr>
          <w:rFonts w:ascii="Arial" w:hAnsi="Arial" w:cs="Arial"/>
          <w:lang w:eastAsia="zh-CN"/>
        </w:rPr>
        <w:t>For NB-IoT NTN, to configure/indicate enabling/disabling of HARQ feedback for downlink transmission, down select one or more from the following options:</w:t>
      </w:r>
    </w:p>
    <w:p w14:paraId="5740E7A0" w14:textId="77777777" w:rsidR="00F9174B" w:rsidRDefault="00827744">
      <w:pPr>
        <w:numPr>
          <w:ilvl w:val="0"/>
          <w:numId w:val="9"/>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1: per HARQ process via UE specific RRC signaling</w:t>
      </w:r>
    </w:p>
    <w:p w14:paraId="7002D344" w14:textId="77777777" w:rsidR="00F9174B" w:rsidRDefault="00827744">
      <w:pPr>
        <w:numPr>
          <w:ilvl w:val="0"/>
          <w:numId w:val="9"/>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3: explicitly indicated by DCI (e.g., new field or reusing existing field)</w:t>
      </w:r>
    </w:p>
    <w:p w14:paraId="376FD85B" w14:textId="77777777" w:rsidR="00F9174B" w:rsidRDefault="00827744">
      <w:pPr>
        <w:numPr>
          <w:ilvl w:val="0"/>
          <w:numId w:val="9"/>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4: implicitly indicated by existing configured/indicated/combined parameter(s) in the DCI (e.g., repetition number, TBS)</w:t>
      </w:r>
    </w:p>
    <w:p w14:paraId="58CBF040" w14:textId="77777777" w:rsidR="00F9174B" w:rsidRDefault="00827744">
      <w:pPr>
        <w:numPr>
          <w:ilvl w:val="0"/>
          <w:numId w:val="9"/>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6: combinations of some options above</w:t>
      </w:r>
    </w:p>
    <w:p w14:paraId="22CCB53F" w14:textId="77777777" w:rsidR="00F9174B" w:rsidRDefault="00F9174B">
      <w:pPr>
        <w:rPr>
          <w:lang w:val="en-US" w:eastAsia="zh-CN"/>
        </w:rPr>
      </w:pPr>
    </w:p>
    <w:p w14:paraId="2251FE3E" w14:textId="77777777" w:rsidR="00F9174B" w:rsidRDefault="00827744">
      <w:pPr>
        <w:rPr>
          <w:rFonts w:ascii="Arial" w:hAnsi="Arial" w:cs="Arial"/>
          <w:b/>
          <w:bCs/>
          <w:lang w:val="en-US" w:eastAsia="zh-CN"/>
        </w:rPr>
      </w:pPr>
      <w:r>
        <w:rPr>
          <w:rFonts w:ascii="Arial" w:hAnsi="Arial" w:cs="Arial"/>
          <w:b/>
          <w:bCs/>
          <w:highlight w:val="green"/>
          <w:lang w:val="en-US" w:eastAsia="zh-CN"/>
        </w:rPr>
        <w:t>Agreement</w:t>
      </w:r>
    </w:p>
    <w:p w14:paraId="3E934785" w14:textId="77777777" w:rsidR="00F9174B" w:rsidRDefault="00827744">
      <w:pPr>
        <w:pStyle w:val="ListParagraph"/>
        <w:numPr>
          <w:ilvl w:val="0"/>
          <w:numId w:val="10"/>
        </w:numPr>
        <w:ind w:leftChars="0"/>
        <w:rPr>
          <w:rFonts w:ascii="Arial" w:hAnsi="Arial" w:cs="Arial"/>
          <w:sz w:val="20"/>
          <w:szCs w:val="20"/>
          <w:lang w:eastAsia="zh-CN"/>
        </w:rPr>
      </w:pPr>
      <w:r>
        <w:rPr>
          <w:rFonts w:ascii="Arial" w:hAnsi="Arial" w:cs="Arial"/>
          <w:sz w:val="20"/>
          <w:szCs w:val="20"/>
          <w:lang w:eastAsia="zh-CN"/>
        </w:rPr>
        <w:t>For a DL HARQ process with disabled HARQ feedback in NB-IoT, at least the following UE behavior(s) can be considered:</w:t>
      </w:r>
    </w:p>
    <w:p w14:paraId="332B9F98" w14:textId="77777777" w:rsidR="00F9174B" w:rsidRDefault="00827744">
      <w:pPr>
        <w:numPr>
          <w:ilvl w:val="0"/>
          <w:numId w:val="10"/>
        </w:numPr>
        <w:overflowPunct/>
        <w:autoSpaceDE/>
        <w:autoSpaceDN/>
        <w:adjustRightInd/>
        <w:spacing w:after="0"/>
        <w:textAlignment w:val="auto"/>
        <w:rPr>
          <w:rFonts w:ascii="Arial" w:hAnsi="Arial" w:cs="Arial"/>
          <w:lang w:val="en-US" w:eastAsia="zh-CN"/>
        </w:rPr>
      </w:pPr>
      <w:r>
        <w:rPr>
          <w:rFonts w:ascii="Arial" w:hAnsi="Arial" w:cs="Arial"/>
          <w:lang w:val="en-US" w:eastAsia="zh-CN"/>
        </w:rPr>
        <w:t xml:space="preserve">Option 1: UE is not expected to receive another NPDCCH carrying a DCI scheduling a NPDSCH for a given HARQ process that starts until X(ms) after the end of the reception of the last NPDSCH for that HARQ process. </w:t>
      </w:r>
    </w:p>
    <w:p w14:paraId="2B9661BD" w14:textId="77777777" w:rsidR="00F9174B" w:rsidRDefault="00827744">
      <w:pPr>
        <w:numPr>
          <w:ilvl w:val="1"/>
          <w:numId w:val="10"/>
        </w:numPr>
        <w:overflowPunct/>
        <w:autoSpaceDE/>
        <w:autoSpaceDN/>
        <w:adjustRightInd/>
        <w:spacing w:after="0"/>
        <w:textAlignment w:val="auto"/>
        <w:rPr>
          <w:rFonts w:ascii="Arial" w:hAnsi="Arial" w:cs="Arial"/>
          <w:lang w:val="en-US" w:eastAsia="zh-CN"/>
        </w:rPr>
      </w:pPr>
      <w:r>
        <w:rPr>
          <w:rFonts w:ascii="Arial" w:hAnsi="Arial" w:cs="Arial"/>
          <w:lang w:val="en-US" w:eastAsia="zh-CN"/>
        </w:rPr>
        <w:t>X =12</w:t>
      </w:r>
    </w:p>
    <w:p w14:paraId="43304921" w14:textId="77777777" w:rsidR="00F9174B" w:rsidRDefault="00827744">
      <w:pPr>
        <w:numPr>
          <w:ilvl w:val="0"/>
          <w:numId w:val="10"/>
        </w:numPr>
        <w:overflowPunct/>
        <w:autoSpaceDE/>
        <w:autoSpaceDN/>
        <w:adjustRightInd/>
        <w:spacing w:after="0"/>
        <w:textAlignment w:val="auto"/>
        <w:rPr>
          <w:rFonts w:ascii="Arial" w:hAnsi="Arial" w:cs="Arial"/>
          <w:lang w:val="en-US" w:eastAsia="zh-CN"/>
        </w:rPr>
      </w:pPr>
      <w:r>
        <w:rPr>
          <w:rFonts w:ascii="Arial" w:hAnsi="Arial" w:cs="Arial"/>
          <w:lang w:val="en-US" w:eastAsia="zh-CN"/>
        </w:rPr>
        <w:t>Option 2: UE is not required to monitor NPDCCH in a period of Y(ms) from the end of reception of the last NPDSCH</w:t>
      </w:r>
    </w:p>
    <w:p w14:paraId="2E725D0B" w14:textId="77777777" w:rsidR="00F9174B" w:rsidRDefault="00827744">
      <w:pPr>
        <w:numPr>
          <w:ilvl w:val="1"/>
          <w:numId w:val="10"/>
        </w:numPr>
        <w:overflowPunct/>
        <w:autoSpaceDE/>
        <w:autoSpaceDN/>
        <w:adjustRightInd/>
        <w:spacing w:after="0"/>
        <w:textAlignment w:val="auto"/>
        <w:rPr>
          <w:rFonts w:ascii="Arial" w:hAnsi="Arial" w:cs="Arial"/>
          <w:lang w:val="en-US" w:eastAsia="zh-CN"/>
        </w:rPr>
      </w:pPr>
      <w:r>
        <w:rPr>
          <w:rFonts w:ascii="Arial" w:hAnsi="Arial" w:cs="Arial"/>
          <w:lang w:val="en-US" w:eastAsia="zh-CN"/>
        </w:rPr>
        <w:t>Y=12</w:t>
      </w:r>
    </w:p>
    <w:p w14:paraId="7468319B" w14:textId="77777777" w:rsidR="00F9174B" w:rsidRDefault="00827744">
      <w:pPr>
        <w:pStyle w:val="ListParagraph"/>
        <w:numPr>
          <w:ilvl w:val="0"/>
          <w:numId w:val="10"/>
        </w:numPr>
        <w:ind w:leftChars="0"/>
        <w:rPr>
          <w:rFonts w:ascii="Arial" w:hAnsi="Arial" w:cs="Arial"/>
          <w:sz w:val="20"/>
          <w:szCs w:val="20"/>
          <w:lang w:eastAsia="zh-CN"/>
        </w:rPr>
      </w:pPr>
      <w:r>
        <w:rPr>
          <w:rFonts w:ascii="Arial" w:hAnsi="Arial" w:cs="Arial"/>
          <w:sz w:val="20"/>
          <w:szCs w:val="20"/>
          <w:lang w:eastAsia="zh-CN"/>
        </w:rPr>
        <w:t>Note: it may be different UE behaviors for different UE categories (e.g., UE with single/multiple HARQ processes)</w:t>
      </w:r>
    </w:p>
    <w:p w14:paraId="5C43F381" w14:textId="77777777" w:rsidR="00F9174B" w:rsidRDefault="00F9174B">
      <w:pPr>
        <w:pStyle w:val="NormalWeb"/>
        <w:spacing w:before="0" w:beforeAutospacing="0" w:after="0" w:afterAutospacing="0"/>
        <w:rPr>
          <w:rFonts w:ascii="Arial" w:hAnsi="Arial" w:cs="Arial"/>
          <w:color w:val="000000"/>
          <w:sz w:val="20"/>
          <w:szCs w:val="20"/>
          <w:u w:val="single"/>
        </w:rPr>
      </w:pPr>
    </w:p>
    <w:p w14:paraId="35E180CB" w14:textId="77777777" w:rsidR="00F9174B" w:rsidRDefault="00F9174B">
      <w:pPr>
        <w:rPr>
          <w:rFonts w:ascii="Arial" w:hAnsi="Arial" w:cs="Arial"/>
          <w:lang w:eastAsia="ja-JP"/>
        </w:rPr>
      </w:pPr>
    </w:p>
    <w:p w14:paraId="2716B8ED" w14:textId="77777777" w:rsidR="00F9174B" w:rsidRDefault="00827744">
      <w:pPr>
        <w:tabs>
          <w:tab w:val="left" w:pos="567"/>
        </w:tabs>
        <w:overflowPunct/>
        <w:autoSpaceDE/>
        <w:autoSpaceDN/>
        <w:snapToGrid w:val="0"/>
        <w:spacing w:after="0"/>
        <w:textAlignment w:val="auto"/>
        <w:rPr>
          <w:rFonts w:ascii="Arial" w:hAnsi="Arial" w:cs="Arial"/>
          <w:b/>
          <w:u w:val="single"/>
          <w:lang w:eastAsia="ja-JP"/>
        </w:rPr>
      </w:pPr>
      <w:r>
        <w:rPr>
          <w:rFonts w:ascii="Arial" w:hAnsi="Arial" w:cs="Arial"/>
          <w:b/>
          <w:u w:val="single"/>
          <w:lang w:eastAsia="ja-JP"/>
        </w:rPr>
        <w:t>Agreements on “9.12.4</w:t>
      </w:r>
      <w:r>
        <w:rPr>
          <w:rFonts w:ascii="Arial" w:hAnsi="Arial" w:cs="Arial"/>
          <w:b/>
          <w:u w:val="single"/>
          <w:lang w:eastAsia="ja-JP"/>
        </w:rPr>
        <w:tab/>
        <w:t>Improved GNSS operations for IoT NTN”</w:t>
      </w:r>
    </w:p>
    <w:p w14:paraId="2DC11306" w14:textId="77777777" w:rsidR="00F9174B" w:rsidRDefault="00F9174B">
      <w:pPr>
        <w:rPr>
          <w:rFonts w:ascii="Arial" w:hAnsi="Arial" w:cs="Arial"/>
          <w:lang w:eastAsia="ja-JP"/>
        </w:rPr>
      </w:pPr>
    </w:p>
    <w:p w14:paraId="63038620" w14:textId="77777777" w:rsidR="00F9174B" w:rsidRDefault="00827744">
      <w:pPr>
        <w:rPr>
          <w:rFonts w:ascii="Arial" w:hAnsi="Arial" w:cs="Arial"/>
          <w:b/>
          <w:bCs/>
          <w:iCs/>
        </w:rPr>
      </w:pPr>
      <w:r>
        <w:rPr>
          <w:rFonts w:ascii="Arial" w:hAnsi="Arial" w:cs="Arial"/>
          <w:b/>
          <w:iCs/>
          <w:highlight w:val="green"/>
        </w:rPr>
        <w:lastRenderedPageBreak/>
        <w:t>Agreement</w:t>
      </w:r>
    </w:p>
    <w:p w14:paraId="193D5544" w14:textId="77777777" w:rsidR="00F9174B" w:rsidRDefault="00827744">
      <w:pPr>
        <w:rPr>
          <w:rFonts w:ascii="Arial" w:hAnsi="Arial" w:cs="Arial"/>
          <w:bCs/>
          <w:iCs/>
        </w:rPr>
      </w:pPr>
      <w:r>
        <w:rPr>
          <w:rFonts w:ascii="Arial" w:hAnsi="Arial" w:cs="Arial"/>
          <w:bCs/>
          <w:iCs/>
        </w:rPr>
        <w:t>GNSS assistance information that UE reports to eNB at least consists of:</w:t>
      </w:r>
    </w:p>
    <w:p w14:paraId="60FCCACC" w14:textId="77777777" w:rsidR="00F9174B" w:rsidRDefault="00827744">
      <w:pPr>
        <w:pStyle w:val="ListParagraph"/>
        <w:widowControl/>
        <w:numPr>
          <w:ilvl w:val="0"/>
          <w:numId w:val="11"/>
        </w:numPr>
        <w:tabs>
          <w:tab w:val="left" w:pos="360"/>
        </w:tabs>
        <w:ind w:leftChars="0"/>
        <w:jc w:val="left"/>
        <w:rPr>
          <w:rFonts w:ascii="Arial" w:hAnsi="Arial" w:cs="Arial"/>
          <w:bCs/>
          <w:iCs/>
          <w:sz w:val="20"/>
          <w:szCs w:val="20"/>
        </w:rPr>
      </w:pPr>
      <w:r>
        <w:rPr>
          <w:rFonts w:ascii="Arial" w:eastAsia="SimSun" w:hAnsi="Arial" w:cs="Arial"/>
          <w:bCs/>
          <w:iCs/>
          <w:sz w:val="20"/>
          <w:szCs w:val="20"/>
          <w:lang w:eastAsia="zh-CN"/>
        </w:rPr>
        <w:t xml:space="preserve">GNSS position fix time duration for measurement </w:t>
      </w:r>
    </w:p>
    <w:p w14:paraId="5CFCDDAF" w14:textId="77777777" w:rsidR="00F9174B" w:rsidRDefault="00827744">
      <w:pPr>
        <w:pStyle w:val="ListParagraph"/>
        <w:widowControl/>
        <w:numPr>
          <w:ilvl w:val="0"/>
          <w:numId w:val="11"/>
        </w:numPr>
        <w:tabs>
          <w:tab w:val="left" w:pos="360"/>
        </w:tabs>
        <w:ind w:leftChars="0"/>
        <w:rPr>
          <w:rFonts w:ascii="Arial" w:hAnsi="Arial" w:cs="Arial"/>
          <w:bCs/>
          <w:iCs/>
          <w:sz w:val="20"/>
          <w:szCs w:val="20"/>
          <w:lang w:eastAsia="zh-CN"/>
        </w:rPr>
      </w:pPr>
      <w:r>
        <w:rPr>
          <w:rFonts w:ascii="Arial" w:hAnsi="Arial" w:cs="Arial"/>
          <w:bCs/>
          <w:iCs/>
          <w:sz w:val="20"/>
          <w:szCs w:val="20"/>
          <w:lang w:eastAsia="zh-CN"/>
        </w:rPr>
        <w:t xml:space="preserve">GNSS validity duration </w:t>
      </w:r>
    </w:p>
    <w:p w14:paraId="6BD159CA" w14:textId="77777777" w:rsidR="00F9174B" w:rsidRDefault="00F9174B">
      <w:pPr>
        <w:pStyle w:val="NormalWeb"/>
        <w:spacing w:before="0" w:beforeAutospacing="0" w:after="0" w:afterAutospacing="0"/>
        <w:rPr>
          <w:rFonts w:ascii="Arial" w:hAnsi="Arial" w:cs="Arial"/>
          <w:b/>
          <w:sz w:val="20"/>
          <w:szCs w:val="20"/>
          <w:lang w:val="en-GB"/>
        </w:rPr>
      </w:pPr>
    </w:p>
    <w:p w14:paraId="596E84B4" w14:textId="77777777" w:rsidR="00F9174B" w:rsidRDefault="00827744">
      <w:pPr>
        <w:rPr>
          <w:rFonts w:ascii="Arial" w:hAnsi="Arial" w:cs="Arial"/>
          <w:b/>
          <w:bCs/>
          <w:iCs/>
        </w:rPr>
      </w:pPr>
      <w:r>
        <w:rPr>
          <w:rFonts w:ascii="Arial" w:hAnsi="Arial" w:cs="Arial"/>
          <w:b/>
          <w:iCs/>
          <w:highlight w:val="green"/>
        </w:rPr>
        <w:t>Agreement</w:t>
      </w:r>
    </w:p>
    <w:p w14:paraId="7FE5E400" w14:textId="77777777" w:rsidR="00F9174B" w:rsidRDefault="00827744">
      <w:pPr>
        <w:rPr>
          <w:rFonts w:ascii="Arial" w:hAnsi="Arial" w:cs="Arial"/>
          <w:iCs/>
        </w:rPr>
      </w:pPr>
      <w:r>
        <w:rPr>
          <w:rFonts w:ascii="Arial" w:hAnsi="Arial" w:cs="Arial"/>
          <w:iCs/>
        </w:rPr>
        <w:t>When eNB triggers UE to make GNSS measurements, UE re-acquires GNSS position fix</w:t>
      </w:r>
    </w:p>
    <w:p w14:paraId="3168C272" w14:textId="77777777" w:rsidR="00F9174B" w:rsidRDefault="00827744">
      <w:pPr>
        <w:numPr>
          <w:ilvl w:val="0"/>
          <w:numId w:val="12"/>
        </w:numPr>
        <w:overflowPunct/>
        <w:autoSpaceDE/>
        <w:autoSpaceDN/>
        <w:adjustRightInd/>
        <w:spacing w:after="0"/>
        <w:textAlignment w:val="auto"/>
        <w:rPr>
          <w:rFonts w:ascii="Arial" w:hAnsi="Arial" w:cs="Arial"/>
          <w:iCs/>
        </w:rPr>
      </w:pPr>
      <w:r>
        <w:rPr>
          <w:rFonts w:ascii="Arial" w:hAnsi="Arial" w:cs="Arial"/>
          <w:iCs/>
          <w:lang w:eastAsia="zh-CN"/>
        </w:rPr>
        <w:t>FFS details of signalling</w:t>
      </w:r>
    </w:p>
    <w:p w14:paraId="1AF85F5D" w14:textId="77777777" w:rsidR="00F9174B" w:rsidRDefault="00827744">
      <w:pPr>
        <w:numPr>
          <w:ilvl w:val="0"/>
          <w:numId w:val="12"/>
        </w:numPr>
        <w:overflowPunct/>
        <w:autoSpaceDE/>
        <w:autoSpaceDN/>
        <w:adjustRightInd/>
        <w:spacing w:after="0"/>
        <w:textAlignment w:val="auto"/>
        <w:rPr>
          <w:rFonts w:ascii="Arial" w:hAnsi="Arial" w:cs="Arial"/>
          <w:iCs/>
        </w:rPr>
      </w:pPr>
      <w:r>
        <w:rPr>
          <w:rFonts w:ascii="Arial" w:hAnsi="Arial" w:cs="Arial"/>
          <w:iCs/>
        </w:rPr>
        <w:t>FFS how UE reports GNSS assistance information after eNB trigger and the detailed content</w:t>
      </w:r>
    </w:p>
    <w:p w14:paraId="456F455B" w14:textId="77777777" w:rsidR="00F9174B" w:rsidRDefault="00827744">
      <w:pPr>
        <w:numPr>
          <w:ilvl w:val="0"/>
          <w:numId w:val="12"/>
        </w:numPr>
        <w:overflowPunct/>
        <w:autoSpaceDE/>
        <w:autoSpaceDN/>
        <w:adjustRightInd/>
        <w:spacing w:after="0"/>
        <w:textAlignment w:val="auto"/>
        <w:rPr>
          <w:rFonts w:ascii="Arial" w:hAnsi="Arial" w:cs="Arial"/>
          <w:iCs/>
        </w:rPr>
      </w:pPr>
      <w:r>
        <w:rPr>
          <w:rFonts w:ascii="Arial" w:hAnsi="Arial" w:cs="Arial"/>
          <w:iCs/>
        </w:rPr>
        <w:t>Note: further discuss whether a UE is expected to handle all eNB triggers</w:t>
      </w:r>
    </w:p>
    <w:p w14:paraId="58C49457" w14:textId="77777777" w:rsidR="00F9174B" w:rsidRDefault="00F9174B">
      <w:pPr>
        <w:rPr>
          <w:rFonts w:ascii="Arial" w:hAnsi="Arial" w:cs="Arial"/>
          <w:lang w:eastAsia="ja-JP"/>
        </w:rPr>
      </w:pPr>
    </w:p>
    <w:p w14:paraId="087BB71C" w14:textId="77777777" w:rsidR="00F9174B" w:rsidRDefault="00827744">
      <w:pPr>
        <w:pStyle w:val="Heading4"/>
        <w:keepNext w:val="0"/>
        <w:numPr>
          <w:ilvl w:val="2"/>
          <w:numId w:val="13"/>
        </w:numPr>
        <w:rPr>
          <w:lang w:eastAsia="ja-JP"/>
        </w:rPr>
      </w:pPr>
      <w:r>
        <w:rPr>
          <w:lang w:eastAsia="ja-JP"/>
        </w:rPr>
        <w:t>Remaining Open issues</w:t>
      </w:r>
    </w:p>
    <w:p w14:paraId="0D2C570F"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7914A287" w14:textId="77777777" w:rsidR="00F9174B" w:rsidRDefault="00827744">
      <w:pPr>
        <w:pStyle w:val="B1"/>
        <w:rPr>
          <w:rFonts w:ascii="Arial" w:hAnsi="Arial" w:cs="Arial"/>
          <w:lang w:eastAsia="ja-JP"/>
        </w:rPr>
      </w:pPr>
      <w:r>
        <w:rPr>
          <w:rFonts w:ascii="Arial" w:hAnsi="Arial" w:cs="Arial"/>
          <w:lang w:eastAsia="ja-JP"/>
        </w:rPr>
        <w:t>-</w:t>
      </w:r>
      <w:r>
        <w:rPr>
          <w:rFonts w:ascii="Arial" w:hAnsi="Arial" w:cs="Arial"/>
          <w:lang w:eastAsia="ja-JP"/>
        </w:rPr>
        <w:tab/>
        <w:t>Disabling of HARQ feedback to mitigate impact of HARQ stalling on UE data rates.</w:t>
      </w:r>
    </w:p>
    <w:p w14:paraId="27AC0B35" w14:textId="77777777" w:rsidR="00F9174B" w:rsidRDefault="00827744">
      <w:pPr>
        <w:pStyle w:val="B1"/>
        <w:rPr>
          <w:rFonts w:ascii="Arial" w:hAnsi="Arial" w:cs="Arial"/>
          <w:lang w:eastAsia="ja-JP"/>
        </w:rPr>
      </w:pPr>
      <w:r>
        <w:rPr>
          <w:rFonts w:ascii="Arial" w:hAnsi="Arial" w:cs="Arial"/>
          <w:lang w:eastAsia="ja-JP"/>
        </w:rPr>
        <w:t>-</w:t>
      </w:r>
      <w:r>
        <w:rPr>
          <w:rFonts w:ascii="Arial" w:hAnsi="Arial" w:cs="Arial"/>
          <w:lang w:eastAsia="ja-JP"/>
        </w:rPr>
        <w:tab/>
        <w:t>Study and specify, if needed, improved GNSS operations for a new position fix for UE pre-compensation during long connection times and for reduced power consumption.</w:t>
      </w:r>
    </w:p>
    <w:p w14:paraId="0E36B4F7" w14:textId="77777777" w:rsidR="00F9174B" w:rsidRDefault="00F9174B"/>
    <w:p w14:paraId="63C930DC" w14:textId="77777777" w:rsidR="00F9174B" w:rsidRDefault="00827744">
      <w:pPr>
        <w:pStyle w:val="Heading2"/>
        <w:keepNext w:val="0"/>
        <w:rPr>
          <w:lang w:eastAsia="ja-JP"/>
        </w:rPr>
      </w:pPr>
      <w:r>
        <w:rPr>
          <w:lang w:eastAsia="ja-JP"/>
        </w:rPr>
        <w:t>2.2</w:t>
      </w:r>
      <w:r>
        <w:rPr>
          <w:lang w:eastAsia="ja-JP"/>
        </w:rPr>
        <w:tab/>
      </w:r>
      <w:r>
        <w:rPr>
          <w:rFonts w:hint="eastAsia"/>
          <w:lang w:eastAsia="ja-JP"/>
        </w:rPr>
        <w:t>RAN2</w:t>
      </w:r>
    </w:p>
    <w:p w14:paraId="38644C8D" w14:textId="77777777" w:rsidR="00F9174B" w:rsidRDefault="00827744">
      <w:pPr>
        <w:pStyle w:val="Heading4"/>
        <w:keepNext w:val="0"/>
        <w:rPr>
          <w:lang w:eastAsia="ja-JP"/>
        </w:rPr>
      </w:pPr>
      <w:r>
        <w:rPr>
          <w:lang w:eastAsia="ja-JP"/>
        </w:rPr>
        <w:t>2.2.1</w:t>
      </w:r>
      <w:r>
        <w:rPr>
          <w:lang w:eastAsia="ja-JP"/>
        </w:rPr>
        <w:tab/>
        <w:t>Agreements</w:t>
      </w:r>
    </w:p>
    <w:p w14:paraId="7AD994E3" w14:textId="77777777" w:rsidR="00F9174B" w:rsidRDefault="00827744">
      <w:pPr>
        <w:outlineLvl w:val="5"/>
        <w:rPr>
          <w:rFonts w:ascii="Arial" w:hAnsi="Arial" w:cs="Arial"/>
          <w:b/>
          <w:lang w:eastAsia="en-US"/>
        </w:rPr>
      </w:pPr>
      <w:r>
        <w:rPr>
          <w:rFonts w:ascii="Arial" w:hAnsi="Arial" w:cs="Arial"/>
          <w:b/>
          <w:lang w:eastAsia="en-US"/>
        </w:rPr>
        <w:t>RAN2#119-e, August 17th – 26th, 2022, e-meeting</w:t>
      </w:r>
    </w:p>
    <w:p w14:paraId="0831B63D" w14:textId="77777777" w:rsidR="00F9174B" w:rsidRDefault="00F9174B">
      <w:pPr>
        <w:rPr>
          <w:lang w:eastAsia="ja-JP"/>
        </w:rPr>
      </w:pPr>
    </w:p>
    <w:p w14:paraId="7628F9AE" w14:textId="77777777" w:rsidR="00F9174B" w:rsidRDefault="00827744">
      <w:pPr>
        <w:rPr>
          <w:b/>
          <w:lang w:eastAsia="ja-JP"/>
        </w:rPr>
      </w:pPr>
      <w:r>
        <w:rPr>
          <w:rFonts w:ascii="Arial" w:hAnsi="Arial" w:cs="Arial"/>
          <w:b/>
          <w:u w:val="single"/>
          <w:lang w:eastAsia="ja-JP"/>
        </w:rPr>
        <w:t>Agreements on “8.6.2 Performance Enhancements”</w:t>
      </w:r>
    </w:p>
    <w:p w14:paraId="1CFF78E8" w14:textId="77777777" w:rsidR="00F9174B" w:rsidRDefault="00827744">
      <w:pPr>
        <w:rPr>
          <w:rFonts w:ascii="Arial" w:hAnsi="Arial" w:cs="Arial"/>
          <w:lang w:eastAsia="ja-JP"/>
        </w:rPr>
      </w:pPr>
      <w:r>
        <w:rPr>
          <w:rFonts w:ascii="Arial" w:hAnsi="Arial" w:cs="Arial"/>
          <w:lang w:eastAsia="ja-JP"/>
        </w:rPr>
        <w:t>Agreements:</w:t>
      </w:r>
    </w:p>
    <w:p w14:paraId="0FCE16F4"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Disabling DL HARQ feedback is supported for NB-IoT and eMTC NTN. FFS on UE capability</w:t>
      </w:r>
    </w:p>
    <w:p w14:paraId="70534ABB"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 xml:space="preserve">For UL HARQ operation, introduce </w:t>
      </w:r>
      <w:bookmarkStart w:id="0" w:name="_Hlk112917949"/>
      <w:r>
        <w:rPr>
          <w:rFonts w:ascii="Arial" w:hAnsi="Arial" w:cs="Arial"/>
          <w:sz w:val="20"/>
          <w:szCs w:val="20"/>
        </w:rPr>
        <w:t xml:space="preserve">two HARQ modes, i.e., HARQ mode A and HARQ mode B in IoT NTN </w:t>
      </w:r>
      <w:bookmarkEnd w:id="0"/>
      <w:r>
        <w:rPr>
          <w:rFonts w:ascii="Arial" w:hAnsi="Arial" w:cs="Arial"/>
          <w:sz w:val="20"/>
          <w:szCs w:val="20"/>
        </w:rPr>
        <w:t>(both NB-IoT and eMTC NTN), similarly to NR NTN</w:t>
      </w:r>
    </w:p>
    <w:p w14:paraId="4666DBB3" w14:textId="77777777" w:rsidR="00F9174B" w:rsidRDefault="00827744">
      <w:pPr>
        <w:pStyle w:val="ListParagraph"/>
        <w:numPr>
          <w:ilvl w:val="0"/>
          <w:numId w:val="14"/>
        </w:numPr>
        <w:ind w:leftChars="0"/>
        <w:rPr>
          <w:rFonts w:ascii="Arial" w:hAnsi="Arial" w:cs="Arial"/>
          <w:sz w:val="20"/>
          <w:szCs w:val="20"/>
        </w:rPr>
      </w:pPr>
      <w:r>
        <w:rPr>
          <w:rFonts w:ascii="Arial" w:hAnsi="Arial" w:cs="Arial"/>
          <w:sz w:val="20"/>
          <w:szCs w:val="20"/>
        </w:rPr>
        <w:t>From RAN2 perspective, at least for eMTC, enabling/disabling HARQ feedback can be configured per DL HARQ process at least via UE specific RRC signalling. FFS for NB-IoT (and especially for CP solution for NB-IOT).</w:t>
      </w:r>
    </w:p>
    <w:p w14:paraId="73072DED" w14:textId="77777777" w:rsidR="00F9174B" w:rsidRDefault="00F9174B">
      <w:pPr>
        <w:rPr>
          <w:lang w:eastAsia="ja-JP"/>
        </w:rPr>
      </w:pPr>
    </w:p>
    <w:p w14:paraId="7579DD5F" w14:textId="77777777" w:rsidR="00F9174B" w:rsidRDefault="00827744">
      <w:pPr>
        <w:rPr>
          <w:lang w:eastAsia="ja-JP"/>
        </w:rPr>
      </w:pPr>
      <w:r>
        <w:rPr>
          <w:rFonts w:ascii="Arial" w:hAnsi="Arial" w:cs="Arial"/>
          <w:b/>
          <w:u w:val="single"/>
          <w:lang w:eastAsia="ja-JP"/>
        </w:rPr>
        <w:t>Agreements on “8.6.3 Mobility Enhancements”</w:t>
      </w:r>
    </w:p>
    <w:p w14:paraId="5F2E8483" w14:textId="77777777" w:rsidR="00F9174B" w:rsidRDefault="00827744">
      <w:pPr>
        <w:rPr>
          <w:lang w:eastAsia="ja-JP"/>
        </w:rPr>
      </w:pPr>
      <w:r>
        <w:rPr>
          <w:rFonts w:ascii="Arial" w:hAnsi="Arial" w:cs="Arial"/>
          <w:lang w:eastAsia="ja-JP"/>
        </w:rPr>
        <w:t>Agreements</w:t>
      </w:r>
      <w:r>
        <w:rPr>
          <w:lang w:eastAsia="ja-JP"/>
        </w:rPr>
        <w:t>:</w:t>
      </w:r>
    </w:p>
    <w:p w14:paraId="169E914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IoT NTN can use the mechanism for neighbor cell measurements in connected mode (specified in Rel-17 for NB-IoT). FFS if any enhancements are needed (e.g., triggers) for both NB-IoT and eMTC.</w:t>
      </w:r>
    </w:p>
    <w:p w14:paraId="5C38E62D"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0DE336D3"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CHO enhancements for eMTC NTN (i.e., time/</w:t>
      </w:r>
      <w:proofErr w:type="gramStart"/>
      <w:r>
        <w:rPr>
          <w:rFonts w:ascii="Arial" w:hAnsi="Arial" w:cs="Arial"/>
          <w:sz w:val="20"/>
          <w:szCs w:val="20"/>
        </w:rPr>
        <w:t>timer based</w:t>
      </w:r>
      <w:proofErr w:type="gramEnd"/>
      <w:r>
        <w:rPr>
          <w:rFonts w:ascii="Arial" w:hAnsi="Arial" w:cs="Arial"/>
          <w:sz w:val="20"/>
          <w:szCs w:val="20"/>
        </w:rPr>
        <w:t xml:space="preserve"> solution) are introduced based on the R17 NR NTN solution. FFS on location-based solution</w:t>
      </w:r>
    </w:p>
    <w:p w14:paraId="60BAF466" w14:textId="77777777" w:rsidR="00F9174B" w:rsidRDefault="00827744">
      <w:pPr>
        <w:pStyle w:val="ListParagraph"/>
        <w:numPr>
          <w:ilvl w:val="0"/>
          <w:numId w:val="15"/>
        </w:numPr>
        <w:ind w:leftChars="0"/>
        <w:rPr>
          <w:rFonts w:ascii="Arial" w:hAnsi="Arial" w:cs="Arial"/>
          <w:sz w:val="20"/>
          <w:szCs w:val="20"/>
        </w:rPr>
      </w:pPr>
      <w:r>
        <w:rPr>
          <w:rFonts w:ascii="Arial" w:hAnsi="Arial" w:cs="Arial"/>
          <w:sz w:val="20"/>
          <w:szCs w:val="20"/>
        </w:rPr>
        <w:t>Measurement results reporting is not supported in Rel-18 NB-IoT NTN.</w:t>
      </w:r>
    </w:p>
    <w:p w14:paraId="7F3ECC49" w14:textId="77777777" w:rsidR="00F9174B" w:rsidRDefault="00F9174B">
      <w:pPr>
        <w:rPr>
          <w:rFonts w:ascii="Arial" w:hAnsi="Arial" w:cs="Arial"/>
        </w:rPr>
      </w:pPr>
    </w:p>
    <w:p w14:paraId="2730078E" w14:textId="77777777" w:rsidR="00F9174B" w:rsidRDefault="00F9174B">
      <w:pPr>
        <w:rPr>
          <w:lang w:eastAsia="ja-JP"/>
        </w:rPr>
      </w:pPr>
    </w:p>
    <w:p w14:paraId="789E8FF3" w14:textId="77777777" w:rsidR="00F9174B" w:rsidRDefault="00827744">
      <w:pPr>
        <w:pStyle w:val="Heading4"/>
        <w:keepNext w:val="0"/>
        <w:rPr>
          <w:lang w:eastAsia="ja-JP"/>
        </w:rPr>
      </w:pPr>
      <w:r>
        <w:rPr>
          <w:lang w:eastAsia="ja-JP"/>
        </w:rPr>
        <w:lastRenderedPageBreak/>
        <w:t>2.2.2</w:t>
      </w:r>
      <w:r>
        <w:rPr>
          <w:lang w:eastAsia="ja-JP"/>
        </w:rPr>
        <w:tab/>
      </w:r>
      <w:bookmarkStart w:id="1" w:name="_Hlk66098907"/>
      <w:r>
        <w:rPr>
          <w:lang w:eastAsia="ja-JP"/>
        </w:rPr>
        <w:t>Remaining Open issues</w:t>
      </w:r>
      <w:bookmarkEnd w:id="1"/>
    </w:p>
    <w:p w14:paraId="76055469"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45843927" w14:textId="77777777" w:rsidR="00F9174B" w:rsidRDefault="00827744">
      <w:pPr>
        <w:pStyle w:val="ListParagraph"/>
        <w:numPr>
          <w:ilvl w:val="0"/>
          <w:numId w:val="16"/>
        </w:numPr>
        <w:ind w:leftChars="0"/>
        <w:rPr>
          <w:rFonts w:ascii="Arial" w:hAnsi="Arial" w:cs="Arial"/>
          <w:sz w:val="20"/>
          <w:szCs w:val="20"/>
        </w:rPr>
      </w:pPr>
      <w:r>
        <w:rPr>
          <w:rFonts w:ascii="Arial" w:hAnsi="Arial" w:cs="Arial"/>
          <w:sz w:val="20"/>
          <w:szCs w:val="20"/>
        </w:rPr>
        <w:t>RAN2 aspects for Disabling of HARQ feedback in NB-IoT NTN to mitigate impact of HARQ stalling.</w:t>
      </w:r>
    </w:p>
    <w:p w14:paraId="7C91747E" w14:textId="77777777" w:rsidR="00F9174B" w:rsidRDefault="00827744">
      <w:pPr>
        <w:pStyle w:val="ListParagraph"/>
        <w:numPr>
          <w:ilvl w:val="0"/>
          <w:numId w:val="16"/>
        </w:numPr>
        <w:ind w:leftChars="0"/>
        <w:rPr>
          <w:rFonts w:ascii="Arial" w:hAnsi="Arial" w:cs="Arial"/>
          <w:sz w:val="20"/>
          <w:szCs w:val="20"/>
        </w:rPr>
      </w:pPr>
      <w:r>
        <w:rPr>
          <w:rFonts w:ascii="Arial" w:hAnsi="Arial" w:cs="Arial"/>
          <w:sz w:val="20"/>
          <w:szCs w:val="20"/>
        </w:rPr>
        <w:t>Further details on disabling HARQ feedback in DL for both NB-IoT and eMTC based NTN.</w:t>
      </w:r>
    </w:p>
    <w:p w14:paraId="732EF21E" w14:textId="77777777" w:rsidR="00F9174B" w:rsidRDefault="00827744">
      <w:pPr>
        <w:pStyle w:val="ListParagraph"/>
        <w:numPr>
          <w:ilvl w:val="0"/>
          <w:numId w:val="16"/>
        </w:numPr>
        <w:ind w:leftChars="0"/>
        <w:rPr>
          <w:rFonts w:ascii="Arial" w:hAnsi="Arial" w:cs="Arial"/>
          <w:sz w:val="20"/>
          <w:szCs w:val="20"/>
        </w:rPr>
      </w:pPr>
      <w:r>
        <w:rPr>
          <w:rFonts w:ascii="Arial" w:hAnsi="Arial" w:cs="Arial"/>
          <w:sz w:val="20"/>
          <w:szCs w:val="20"/>
        </w:rPr>
        <w:t>Further details on HARQ mode A and HARQ mode B for UL HARQ operation in IoT NTN.</w:t>
      </w:r>
    </w:p>
    <w:p w14:paraId="6B0B5BE9" w14:textId="77777777" w:rsidR="00F9174B" w:rsidRDefault="00F9174B">
      <w:pPr>
        <w:pStyle w:val="B1"/>
        <w:rPr>
          <w:lang w:eastAsia="ja-JP"/>
        </w:rPr>
      </w:pPr>
    </w:p>
    <w:p w14:paraId="2DD1F2F4" w14:textId="77777777" w:rsidR="00F9174B" w:rsidRDefault="00827744">
      <w:pPr>
        <w:rPr>
          <w:rFonts w:ascii="Arial" w:hAnsi="Arial" w:cs="Arial"/>
          <w:lang w:eastAsia="ja-JP"/>
        </w:rPr>
      </w:pPr>
      <w:r>
        <w:rPr>
          <w:rFonts w:ascii="Arial" w:hAnsi="Arial" w:cs="Arial"/>
          <w:lang w:eastAsia="ja-JP"/>
        </w:rPr>
        <w:t>Objective 2 (mobility enhancements):</w:t>
      </w:r>
    </w:p>
    <w:p w14:paraId="6A625779" w14:textId="77777777" w:rsidR="00F9174B" w:rsidRDefault="00827744">
      <w:pPr>
        <w:pStyle w:val="B1"/>
        <w:numPr>
          <w:ilvl w:val="0"/>
          <w:numId w:val="17"/>
        </w:numPr>
        <w:rPr>
          <w:rFonts w:ascii="Arial" w:hAnsi="Arial" w:cs="Arial"/>
          <w:lang w:eastAsia="ja-JP"/>
        </w:rPr>
      </w:pPr>
      <w:r>
        <w:rPr>
          <w:rFonts w:ascii="Arial" w:hAnsi="Arial" w:cs="Arial"/>
          <w:lang w:eastAsia="ja-JP"/>
        </w:rPr>
        <w:t>Possible enhancements (e.g., triggers) for neighbour cell measurements in connected mode (for both NB-IoT and eMTC).</w:t>
      </w:r>
    </w:p>
    <w:p w14:paraId="59C2BF2E" w14:textId="77777777" w:rsidR="00F9174B" w:rsidRDefault="00827744">
      <w:pPr>
        <w:pStyle w:val="B1"/>
        <w:numPr>
          <w:ilvl w:val="0"/>
          <w:numId w:val="17"/>
        </w:numPr>
        <w:rPr>
          <w:rFonts w:ascii="Arial" w:hAnsi="Arial" w:cs="Arial"/>
          <w:lang w:eastAsia="ja-JP"/>
        </w:rPr>
      </w:pPr>
      <w:r>
        <w:rPr>
          <w:rFonts w:ascii="Arial" w:hAnsi="Arial" w:cs="Arial"/>
          <w:lang w:eastAsia="ja-JP"/>
        </w:rPr>
        <w:t>Possible CHO enhancements for eMTC-based IoT-NTN.</w:t>
      </w:r>
    </w:p>
    <w:p w14:paraId="1F2D3C14" w14:textId="77777777" w:rsidR="00F9174B" w:rsidRDefault="00F9174B">
      <w:pPr>
        <w:rPr>
          <w:lang w:eastAsia="ja-JP"/>
        </w:rPr>
      </w:pPr>
    </w:p>
    <w:p w14:paraId="2566821D" w14:textId="77777777" w:rsidR="00F9174B" w:rsidRDefault="00827744">
      <w:pPr>
        <w:rPr>
          <w:lang w:eastAsia="ja-JP"/>
        </w:rPr>
      </w:pPr>
      <w:r>
        <w:rPr>
          <w:i/>
          <w:lang w:eastAsia="ja-JP"/>
        </w:rPr>
        <w:t>Objective 3 (further enhancement to discontinuous coverage): No discussion in RAN2 119bis-e (Oct) meeting, waiting for some progress in SA2 Study.</w:t>
      </w:r>
    </w:p>
    <w:p w14:paraId="689A6AE0" w14:textId="77777777" w:rsidR="00F9174B" w:rsidRDefault="00F9174B">
      <w:pPr>
        <w:rPr>
          <w:lang w:eastAsia="ja-JP"/>
        </w:rPr>
      </w:pPr>
    </w:p>
    <w:p w14:paraId="0702F323" w14:textId="77777777" w:rsidR="00F9174B" w:rsidRDefault="00827744">
      <w:pPr>
        <w:pStyle w:val="Heading2"/>
        <w:keepNext w:val="0"/>
        <w:rPr>
          <w:rFonts w:eastAsia="SimSun"/>
          <w:lang w:eastAsia="zh-CN"/>
        </w:rPr>
      </w:pPr>
      <w:r>
        <w:rPr>
          <w:lang w:eastAsia="ja-JP"/>
        </w:rPr>
        <w:t>2.2</w:t>
      </w:r>
      <w:r>
        <w:rPr>
          <w:lang w:eastAsia="ja-JP"/>
        </w:rPr>
        <w:tab/>
      </w:r>
      <w:r>
        <w:rPr>
          <w:rFonts w:hint="eastAsia"/>
          <w:lang w:eastAsia="ja-JP"/>
        </w:rPr>
        <w:t>RAN</w:t>
      </w:r>
      <w:r>
        <w:rPr>
          <w:rFonts w:eastAsia="SimSun" w:hint="eastAsia"/>
          <w:lang w:val="en-US" w:eastAsia="zh-CN"/>
        </w:rPr>
        <w:t>3</w:t>
      </w:r>
    </w:p>
    <w:p w14:paraId="17363E70" w14:textId="77777777" w:rsidR="00F9174B" w:rsidRDefault="00827744">
      <w:pPr>
        <w:pStyle w:val="Heading4"/>
        <w:keepNext w:val="0"/>
        <w:rPr>
          <w:lang w:eastAsia="ja-JP"/>
        </w:rPr>
      </w:pPr>
      <w:r>
        <w:rPr>
          <w:lang w:eastAsia="ja-JP"/>
        </w:rPr>
        <w:t>2.3.1</w:t>
      </w:r>
      <w:r>
        <w:rPr>
          <w:lang w:eastAsia="ja-JP"/>
        </w:rPr>
        <w:tab/>
        <w:t>Agreements</w:t>
      </w:r>
    </w:p>
    <w:p w14:paraId="1706156C" w14:textId="77777777" w:rsidR="00F9174B" w:rsidRPr="00532F76" w:rsidRDefault="00827744">
      <w:pPr>
        <w:outlineLvl w:val="5"/>
        <w:rPr>
          <w:rFonts w:ascii="Arial" w:hAnsi="Arial" w:cs="Arial"/>
          <w:b/>
          <w:lang w:eastAsia="en-US"/>
        </w:rPr>
      </w:pPr>
      <w:r w:rsidRPr="00532F76">
        <w:rPr>
          <w:rFonts w:ascii="Arial" w:hAnsi="Arial" w:cs="Arial"/>
          <w:b/>
          <w:lang w:eastAsia="en-US"/>
        </w:rPr>
        <w:t>RAN</w:t>
      </w:r>
      <w:r w:rsidRPr="00532F76">
        <w:rPr>
          <w:rFonts w:ascii="Arial" w:eastAsia="SimSun" w:hAnsi="Arial" w:cs="Arial" w:hint="eastAsia"/>
          <w:b/>
          <w:lang w:val="en-US" w:eastAsia="zh-CN"/>
        </w:rPr>
        <w:t>3</w:t>
      </w:r>
      <w:r w:rsidRPr="00532F76">
        <w:rPr>
          <w:rFonts w:ascii="Arial" w:hAnsi="Arial" w:cs="Arial"/>
          <w:b/>
          <w:lang w:eastAsia="en-US"/>
        </w:rPr>
        <w:t>#11</w:t>
      </w:r>
      <w:r w:rsidRPr="00532F76">
        <w:rPr>
          <w:rFonts w:ascii="Arial" w:eastAsia="SimSun" w:hAnsi="Arial" w:cs="Arial" w:hint="eastAsia"/>
          <w:b/>
          <w:lang w:val="en-US" w:eastAsia="zh-CN"/>
        </w:rPr>
        <w:t>7</w:t>
      </w:r>
      <w:r w:rsidRPr="00532F76">
        <w:rPr>
          <w:rFonts w:ascii="Arial" w:hAnsi="Arial" w:cs="Arial"/>
          <w:b/>
          <w:lang w:eastAsia="en-US"/>
        </w:rPr>
        <w:t>-e, August 1</w:t>
      </w:r>
      <w:r w:rsidRPr="00532F76">
        <w:rPr>
          <w:rFonts w:ascii="Arial" w:eastAsia="SimSun" w:hAnsi="Arial" w:cs="Arial" w:hint="eastAsia"/>
          <w:b/>
          <w:lang w:val="en-US" w:eastAsia="zh-CN"/>
        </w:rPr>
        <w:t>5</w:t>
      </w:r>
      <w:r w:rsidRPr="00532F76">
        <w:rPr>
          <w:rFonts w:ascii="Arial" w:hAnsi="Arial" w:cs="Arial"/>
          <w:b/>
          <w:lang w:eastAsia="en-US"/>
        </w:rPr>
        <w:t>th – 2</w:t>
      </w:r>
      <w:r w:rsidRPr="00532F76">
        <w:rPr>
          <w:rFonts w:ascii="Arial" w:eastAsia="SimSun" w:hAnsi="Arial" w:cs="Arial" w:hint="eastAsia"/>
          <w:b/>
          <w:lang w:val="en-US" w:eastAsia="zh-CN"/>
        </w:rPr>
        <w:t>4</w:t>
      </w:r>
      <w:r w:rsidRPr="00532F76">
        <w:rPr>
          <w:rFonts w:ascii="Arial" w:hAnsi="Arial" w:cs="Arial"/>
          <w:b/>
          <w:lang w:eastAsia="en-US"/>
        </w:rPr>
        <w:t>th, 2022, e-meeting</w:t>
      </w:r>
    </w:p>
    <w:p w14:paraId="5F7095B1" w14:textId="77777777" w:rsidR="00F9174B" w:rsidRPr="00532F76" w:rsidRDefault="00F9174B">
      <w:pPr>
        <w:rPr>
          <w:lang w:eastAsia="ja-JP"/>
        </w:rPr>
      </w:pPr>
    </w:p>
    <w:p w14:paraId="7D2B8FBF" w14:textId="77777777" w:rsidR="00F9174B" w:rsidRPr="00532F76" w:rsidRDefault="00827744">
      <w:pPr>
        <w:rPr>
          <w:lang w:eastAsia="ja-JP"/>
        </w:rPr>
      </w:pPr>
      <w:r w:rsidRPr="00532F76">
        <w:rPr>
          <w:rFonts w:ascii="Arial" w:hAnsi="Arial" w:cs="Arial"/>
          <w:b/>
          <w:u w:val="single"/>
          <w:lang w:eastAsia="ja-JP"/>
        </w:rPr>
        <w:t>Agreements on “18.2 Support discontinuous coverage”</w:t>
      </w:r>
    </w:p>
    <w:p w14:paraId="6BE6CFA5" w14:textId="77777777" w:rsidR="00532F76" w:rsidRPr="00532F76" w:rsidRDefault="00827744" w:rsidP="00532F76">
      <w:pPr>
        <w:pStyle w:val="ListParagraph"/>
        <w:numPr>
          <w:ilvl w:val="0"/>
          <w:numId w:val="18"/>
        </w:numPr>
        <w:ind w:leftChars="0"/>
        <w:rPr>
          <w:rFonts w:ascii="Arial" w:hAnsi="Arial" w:cs="Arial"/>
          <w:sz w:val="20"/>
          <w:szCs w:val="20"/>
        </w:rPr>
      </w:pPr>
      <w:r w:rsidRPr="00532F76">
        <w:rPr>
          <w:rFonts w:ascii="Arial" w:eastAsia="SimSun" w:hAnsi="Arial" w:cs="Arial" w:hint="eastAsia"/>
          <w:sz w:val="20"/>
          <w:szCs w:val="20"/>
          <w:lang w:eastAsia="zh-CN"/>
        </w:rPr>
        <w:t>There is no need to provide the ephemeris info over S1.</w:t>
      </w:r>
    </w:p>
    <w:p w14:paraId="48D32EE5" w14:textId="57B23D4E" w:rsidR="00F9174B" w:rsidRPr="00532F76" w:rsidRDefault="00827744" w:rsidP="00532F76">
      <w:pPr>
        <w:pStyle w:val="ListParagraph"/>
        <w:numPr>
          <w:ilvl w:val="0"/>
          <w:numId w:val="18"/>
        </w:numPr>
        <w:ind w:leftChars="0"/>
        <w:rPr>
          <w:rFonts w:ascii="Arial" w:hAnsi="Arial" w:cs="Arial"/>
          <w:sz w:val="20"/>
          <w:szCs w:val="20"/>
        </w:rPr>
      </w:pPr>
      <w:r w:rsidRPr="00532F76">
        <w:rPr>
          <w:rFonts w:ascii="Arial" w:hAnsi="Arial" w:cs="Arial"/>
        </w:rPr>
        <w:t xml:space="preserve">Whether MME shall be aware of the coverage should be decided by SA2. </w:t>
      </w:r>
    </w:p>
    <w:p w14:paraId="6318AFEE" w14:textId="77777777" w:rsidR="00F9174B" w:rsidRPr="00532F76" w:rsidRDefault="00827744">
      <w:pPr>
        <w:pStyle w:val="ListParagraph"/>
        <w:numPr>
          <w:ilvl w:val="0"/>
          <w:numId w:val="18"/>
        </w:numPr>
        <w:ind w:leftChars="0"/>
        <w:rPr>
          <w:rFonts w:ascii="Arial" w:hAnsi="Arial" w:cs="Arial"/>
          <w:sz w:val="20"/>
          <w:szCs w:val="20"/>
        </w:rPr>
      </w:pPr>
      <w:r w:rsidRPr="00532F76">
        <w:rPr>
          <w:rFonts w:ascii="Arial" w:hAnsi="Arial" w:cs="Arial"/>
          <w:sz w:val="20"/>
          <w:szCs w:val="20"/>
        </w:rPr>
        <w:t>Paging enhancement for power saving should wait for the progress of RAN2 or SA2.</w:t>
      </w:r>
    </w:p>
    <w:p w14:paraId="45223A4B" w14:textId="58807D39" w:rsidR="00F9174B" w:rsidRPr="00532F76" w:rsidRDefault="00827744">
      <w:pPr>
        <w:pStyle w:val="ListParagraph"/>
        <w:numPr>
          <w:ilvl w:val="0"/>
          <w:numId w:val="18"/>
        </w:numPr>
        <w:ind w:leftChars="0"/>
        <w:rPr>
          <w:rFonts w:ascii="Arial" w:hAnsi="Arial" w:cs="Arial"/>
          <w:sz w:val="20"/>
          <w:szCs w:val="20"/>
        </w:rPr>
      </w:pPr>
      <w:r w:rsidRPr="00532F76">
        <w:rPr>
          <w:rFonts w:ascii="Arial" w:hAnsi="Arial" w:cs="Arial"/>
          <w:sz w:val="20"/>
          <w:szCs w:val="20"/>
        </w:rPr>
        <w:t xml:space="preserve">The mobility management enhancements for discontinuous coverage should </w:t>
      </w:r>
      <w:r w:rsidRPr="00532F76">
        <w:rPr>
          <w:rFonts w:ascii="Arial" w:eastAsia="SimSun" w:hAnsi="Arial" w:cs="Arial" w:hint="eastAsia"/>
          <w:sz w:val="20"/>
          <w:szCs w:val="20"/>
          <w:lang w:eastAsia="zh-CN"/>
        </w:rPr>
        <w:t>be pending to the progress in RAN2.</w:t>
      </w:r>
    </w:p>
    <w:p w14:paraId="1CF166E6" w14:textId="77777777" w:rsidR="00F9174B" w:rsidRPr="00532F76" w:rsidRDefault="00F9174B" w:rsidP="00532F76">
      <w:pPr>
        <w:numPr>
          <w:ilvl w:val="255"/>
          <w:numId w:val="0"/>
        </w:numPr>
        <w:rPr>
          <w:lang w:eastAsia="ja-JP"/>
        </w:rPr>
      </w:pPr>
    </w:p>
    <w:p w14:paraId="74054CCF" w14:textId="617ED284" w:rsidR="00F9174B" w:rsidRPr="00532F76" w:rsidRDefault="00827744">
      <w:pPr>
        <w:pStyle w:val="Heading4"/>
        <w:keepNext w:val="0"/>
        <w:rPr>
          <w:lang w:eastAsia="ja-JP"/>
        </w:rPr>
      </w:pPr>
      <w:r w:rsidRPr="00532F76">
        <w:rPr>
          <w:lang w:eastAsia="ja-JP"/>
        </w:rPr>
        <w:t>2.3.2</w:t>
      </w:r>
      <w:r w:rsidR="00532F76">
        <w:rPr>
          <w:lang w:eastAsia="ja-JP"/>
        </w:rPr>
        <w:tab/>
      </w:r>
      <w:r w:rsidRPr="00532F76">
        <w:rPr>
          <w:lang w:eastAsia="ja-JP"/>
        </w:rPr>
        <w:t>Remaining Open issues</w:t>
      </w:r>
    </w:p>
    <w:p w14:paraId="0A609771" w14:textId="77777777" w:rsidR="00F9174B" w:rsidRPr="00532F76" w:rsidRDefault="00827744">
      <w:pPr>
        <w:pStyle w:val="ListParagraph"/>
        <w:numPr>
          <w:ilvl w:val="0"/>
          <w:numId w:val="19"/>
        </w:numPr>
        <w:tabs>
          <w:tab w:val="left" w:pos="567"/>
        </w:tabs>
        <w:snapToGrid w:val="0"/>
        <w:ind w:leftChars="0"/>
        <w:rPr>
          <w:rFonts w:ascii="Arial" w:hAnsi="Arial" w:cs="Arial"/>
          <w:sz w:val="20"/>
          <w:szCs w:val="20"/>
        </w:rPr>
      </w:pPr>
      <w:r w:rsidRPr="00532F76">
        <w:rPr>
          <w:rFonts w:ascii="Arial" w:hAnsi="Arial" w:cs="Arial"/>
          <w:sz w:val="20"/>
          <w:szCs w:val="20"/>
        </w:rPr>
        <w:t>UE context release procedure due to discontinuous coverage</w:t>
      </w:r>
    </w:p>
    <w:p w14:paraId="369E6F71" w14:textId="77777777" w:rsidR="00F9174B" w:rsidRPr="00532F76" w:rsidRDefault="00827744">
      <w:pPr>
        <w:pStyle w:val="ListParagraph"/>
        <w:numPr>
          <w:ilvl w:val="0"/>
          <w:numId w:val="19"/>
        </w:numPr>
        <w:tabs>
          <w:tab w:val="left" w:pos="567"/>
        </w:tabs>
        <w:snapToGrid w:val="0"/>
        <w:ind w:leftChars="0"/>
        <w:rPr>
          <w:rFonts w:ascii="Arial" w:hAnsi="Arial" w:cs="Arial"/>
          <w:sz w:val="20"/>
          <w:szCs w:val="20"/>
        </w:rPr>
      </w:pPr>
      <w:r w:rsidRPr="00532F76">
        <w:rPr>
          <w:rFonts w:ascii="Arial" w:eastAsia="SimSun" w:hAnsi="Arial" w:cs="Arial" w:hint="eastAsia"/>
          <w:sz w:val="20"/>
          <w:szCs w:val="20"/>
          <w:lang w:eastAsia="zh-CN"/>
        </w:rPr>
        <w:t>The issues of discontinuous coverage finalized by SA2 if any.</w:t>
      </w:r>
    </w:p>
    <w:p w14:paraId="77260E06" w14:textId="77777777" w:rsidR="00F9174B" w:rsidRDefault="00F9174B">
      <w:pPr>
        <w:tabs>
          <w:tab w:val="left" w:pos="567"/>
        </w:tabs>
        <w:snapToGrid w:val="0"/>
        <w:rPr>
          <w:rFonts w:ascii="Arial" w:hAnsi="Arial" w:cs="Arial"/>
          <w:lang w:val="en-US"/>
        </w:rPr>
      </w:pPr>
    </w:p>
    <w:p w14:paraId="09F5036E" w14:textId="77777777" w:rsidR="00F9174B" w:rsidRDefault="00F9174B">
      <w:pPr>
        <w:tabs>
          <w:tab w:val="left" w:pos="567"/>
        </w:tabs>
        <w:snapToGrid w:val="0"/>
        <w:rPr>
          <w:rFonts w:ascii="Arial" w:hAnsi="Arial" w:cs="Arial"/>
          <w:lang w:val="en-US"/>
        </w:rPr>
      </w:pPr>
    </w:p>
    <w:p w14:paraId="17914132" w14:textId="77777777" w:rsidR="00F9174B" w:rsidRDefault="00827744">
      <w:pPr>
        <w:pStyle w:val="Heading2"/>
        <w:keepNext w:val="0"/>
        <w:rPr>
          <w:lang w:eastAsia="ja-JP"/>
        </w:rPr>
      </w:pPr>
      <w:r>
        <w:rPr>
          <w:lang w:eastAsia="ja-JP"/>
        </w:rPr>
        <w:t>2.4</w:t>
      </w:r>
      <w:r>
        <w:rPr>
          <w:lang w:eastAsia="ja-JP"/>
        </w:rPr>
        <w:tab/>
      </w:r>
      <w:r>
        <w:rPr>
          <w:rFonts w:hint="eastAsia"/>
          <w:lang w:eastAsia="ja-JP"/>
        </w:rPr>
        <w:t>RAN4</w:t>
      </w:r>
    </w:p>
    <w:p w14:paraId="3A7ED16A" w14:textId="77777777" w:rsidR="00F9174B" w:rsidRDefault="00827744">
      <w:pPr>
        <w:pStyle w:val="Heading4"/>
        <w:keepNext w:val="0"/>
        <w:rPr>
          <w:lang w:eastAsia="ja-JP"/>
        </w:rPr>
      </w:pPr>
      <w:r>
        <w:rPr>
          <w:lang w:eastAsia="ja-JP"/>
        </w:rPr>
        <w:t>2.4.1</w:t>
      </w:r>
      <w:r>
        <w:rPr>
          <w:lang w:eastAsia="ja-JP"/>
        </w:rPr>
        <w:tab/>
        <w:t xml:space="preserve">Agreements: </w:t>
      </w:r>
    </w:p>
    <w:p w14:paraId="2E349677" w14:textId="77777777" w:rsidR="00F9174B" w:rsidRDefault="00827744">
      <w:pPr>
        <w:rPr>
          <w:lang w:eastAsia="ja-JP"/>
        </w:rPr>
      </w:pPr>
      <w:r>
        <w:rPr>
          <w:lang w:eastAsia="ja-JP"/>
        </w:rPr>
        <w:t>The work has not started yet.</w:t>
      </w:r>
    </w:p>
    <w:p w14:paraId="327D2D98" w14:textId="77777777" w:rsidR="00F9174B" w:rsidRDefault="00F9174B">
      <w:pPr>
        <w:rPr>
          <w:lang w:eastAsia="ja-JP"/>
        </w:rPr>
      </w:pPr>
    </w:p>
    <w:p w14:paraId="074AFC4F" w14:textId="77777777" w:rsidR="00F9174B" w:rsidRDefault="00827744">
      <w:pPr>
        <w:pStyle w:val="Heading4"/>
        <w:keepNext w:val="0"/>
        <w:rPr>
          <w:lang w:eastAsia="ja-JP"/>
        </w:rPr>
      </w:pPr>
      <w:r>
        <w:rPr>
          <w:lang w:eastAsia="ja-JP"/>
        </w:rPr>
        <w:t>2.4.2</w:t>
      </w:r>
      <w:r>
        <w:rPr>
          <w:lang w:eastAsia="ja-JP"/>
        </w:rPr>
        <w:tab/>
        <w:t xml:space="preserve">Remaining Open issues: </w:t>
      </w:r>
    </w:p>
    <w:p w14:paraId="62BE1F3D" w14:textId="77777777" w:rsidR="00F9174B" w:rsidRDefault="00827744">
      <w:pPr>
        <w:rPr>
          <w:i/>
        </w:rPr>
      </w:pPr>
      <w:r>
        <w:rPr>
          <w:i/>
        </w:rPr>
        <w:t>NOTE: The need for RAN4 Core requirements for this objective will be identified after the conclusion on the need for improvements</w:t>
      </w:r>
    </w:p>
    <w:p w14:paraId="32C15E5F" w14:textId="77777777" w:rsidR="00F9174B" w:rsidRDefault="00F9174B">
      <w:pPr>
        <w:rPr>
          <w:rFonts w:ascii="Arial" w:hAnsi="Arial" w:cs="Arial"/>
          <w:iCs/>
          <w:color w:val="FF0000"/>
          <w:lang w:val="en-US"/>
        </w:rPr>
      </w:pPr>
    </w:p>
    <w:p w14:paraId="3F4E3BFA" w14:textId="77777777" w:rsidR="00F9174B" w:rsidRDefault="00827744">
      <w:pPr>
        <w:numPr>
          <w:ilvl w:val="0"/>
          <w:numId w:val="20"/>
        </w:numPr>
        <w:spacing w:after="0"/>
        <w:ind w:left="360"/>
        <w:rPr>
          <w:lang w:val="en-US" w:eastAsia="en-US"/>
        </w:rPr>
      </w:pPr>
      <w:bookmarkStart w:id="2" w:name="_Hlk86238162"/>
      <w:r>
        <w:rPr>
          <w:lang w:val="en-US" w:eastAsia="en-US"/>
        </w:rPr>
        <w:t>Specify UE RRM performance requirements to support the agreed mobility enhancements for NB-IoT/eMTC [RAN4]</w:t>
      </w:r>
    </w:p>
    <w:p w14:paraId="375FBB04" w14:textId="77777777" w:rsidR="00F9174B" w:rsidRDefault="00F9174B">
      <w:pPr>
        <w:spacing w:after="0"/>
        <w:rPr>
          <w:lang w:val="en-US" w:eastAsia="en-US"/>
        </w:rPr>
      </w:pPr>
    </w:p>
    <w:p w14:paraId="6E965015" w14:textId="77777777" w:rsidR="00F9174B" w:rsidRDefault="00827744">
      <w:pPr>
        <w:numPr>
          <w:ilvl w:val="0"/>
          <w:numId w:val="20"/>
        </w:numPr>
        <w:spacing w:after="0"/>
        <w:ind w:left="360"/>
        <w:rPr>
          <w:lang w:val="en-US" w:eastAsia="en-US"/>
        </w:rPr>
      </w:pPr>
      <w:r>
        <w:rPr>
          <w:lang w:val="en-US" w:eastAsia="en-US"/>
        </w:rPr>
        <w:lastRenderedPageBreak/>
        <w:t>Specify UE and Base Station demodulation requirements for operation with disabled HARQ feedback for NB-IoT/eMTC [RAN4]</w:t>
      </w:r>
    </w:p>
    <w:p w14:paraId="178B2859" w14:textId="77777777" w:rsidR="00F9174B" w:rsidRDefault="00F9174B">
      <w:pPr>
        <w:spacing w:after="0"/>
        <w:rPr>
          <w:lang w:val="en-US" w:eastAsia="en-US"/>
        </w:rPr>
      </w:pPr>
    </w:p>
    <w:p w14:paraId="50979567" w14:textId="77777777" w:rsidR="00F9174B" w:rsidRDefault="00827744">
      <w:pPr>
        <w:spacing w:after="0"/>
        <w:rPr>
          <w:i/>
          <w:lang w:val="en-US" w:eastAsia="en-US"/>
        </w:rPr>
      </w:pPr>
      <w:r>
        <w:rPr>
          <w:i/>
          <w:lang w:val="en-US" w:eastAsia="en-US"/>
        </w:rPr>
        <w:t>NOTE: The need for Performance requirements for improved GNSS operations will be established once the need for specification work has been decided.</w:t>
      </w:r>
    </w:p>
    <w:bookmarkEnd w:id="2"/>
    <w:p w14:paraId="624B7DA9" w14:textId="77777777" w:rsidR="00F9174B" w:rsidRDefault="00F9174B">
      <w:pPr>
        <w:rPr>
          <w:rFonts w:ascii="Arial" w:hAnsi="Arial" w:cs="Arial"/>
          <w:iCs/>
          <w:color w:val="FF0000"/>
          <w:lang w:val="en-US"/>
        </w:rPr>
      </w:pPr>
    </w:p>
    <w:p w14:paraId="0520B628" w14:textId="77777777" w:rsidR="00F9174B" w:rsidRDefault="00F9174B">
      <w:pPr>
        <w:rPr>
          <w:rFonts w:ascii="Arial" w:hAnsi="Arial" w:cs="Arial"/>
          <w:iCs/>
          <w:color w:val="FF0000"/>
          <w:lang w:val="en-US"/>
        </w:rPr>
      </w:pPr>
    </w:p>
    <w:p w14:paraId="52F8D660" w14:textId="77777777" w:rsidR="00F9174B" w:rsidRDefault="00827744">
      <w:pPr>
        <w:pStyle w:val="Heading2"/>
        <w:rPr>
          <w:lang w:eastAsia="ja-JP"/>
        </w:rPr>
      </w:pPr>
      <w:r>
        <w:rPr>
          <w:lang w:eastAsia="ja-JP"/>
        </w:rPr>
        <w:t>2.5</w:t>
      </w:r>
      <w:r>
        <w:rPr>
          <w:lang w:eastAsia="ja-JP"/>
        </w:rPr>
        <w:tab/>
      </w:r>
      <w:r>
        <w:rPr>
          <w:rFonts w:hint="eastAsia"/>
          <w:lang w:eastAsia="ja-JP"/>
        </w:rPr>
        <w:t>RAN</w:t>
      </w:r>
      <w:r>
        <w:rPr>
          <w:lang w:eastAsia="ja-JP"/>
        </w:rPr>
        <w:t>5</w:t>
      </w:r>
    </w:p>
    <w:p w14:paraId="2F450368" w14:textId="77777777" w:rsidR="00F9174B" w:rsidRDefault="00827744">
      <w:pPr>
        <w:pStyle w:val="Heading4"/>
        <w:rPr>
          <w:lang w:eastAsia="ja-JP"/>
        </w:rPr>
      </w:pPr>
      <w:r>
        <w:rPr>
          <w:lang w:eastAsia="ja-JP"/>
        </w:rPr>
        <w:t>2.5.1</w:t>
      </w:r>
      <w:r>
        <w:rPr>
          <w:lang w:eastAsia="ja-JP"/>
        </w:rPr>
        <w:tab/>
        <w:t>Agreements</w:t>
      </w:r>
    </w:p>
    <w:p w14:paraId="05A08128" w14:textId="77777777" w:rsidR="00F9174B" w:rsidRDefault="00827744">
      <w:pPr>
        <w:pStyle w:val="Heading4"/>
        <w:rPr>
          <w:lang w:eastAsia="ja-JP"/>
        </w:rPr>
      </w:pPr>
      <w:r>
        <w:rPr>
          <w:lang w:eastAsia="ja-JP"/>
        </w:rPr>
        <w:t>2.5.2</w:t>
      </w:r>
      <w:r>
        <w:rPr>
          <w:lang w:eastAsia="ja-JP"/>
        </w:rPr>
        <w:tab/>
        <w:t>Remaining Open issues</w:t>
      </w:r>
    </w:p>
    <w:p w14:paraId="79877CDF" w14:textId="77777777" w:rsidR="00F9174B" w:rsidRDefault="00827744">
      <w:pPr>
        <w:pStyle w:val="Heading4"/>
        <w:rPr>
          <w:lang w:eastAsia="ja-JP"/>
        </w:rPr>
      </w:pPr>
      <w:r>
        <w:rPr>
          <w:lang w:eastAsia="ja-JP"/>
        </w:rPr>
        <w:t>2.5.3</w:t>
      </w:r>
      <w:r>
        <w:rPr>
          <w:lang w:eastAsia="ja-JP"/>
        </w:rPr>
        <w:tab/>
        <w:t>Remaining Open issues with cross-WG dependencies</w:t>
      </w:r>
    </w:p>
    <w:p w14:paraId="5DCE70B2" w14:textId="77777777" w:rsidR="00F9174B" w:rsidRDefault="00F9174B">
      <w:pPr>
        <w:rPr>
          <w:lang w:eastAsia="ja-JP"/>
        </w:rPr>
      </w:pPr>
    </w:p>
    <w:p w14:paraId="53C635E7" w14:textId="77777777" w:rsidR="00F9174B" w:rsidRDefault="00827744">
      <w:pPr>
        <w:pStyle w:val="Heading2"/>
        <w:rPr>
          <w:lang w:eastAsia="ja-JP"/>
        </w:rPr>
      </w:pPr>
      <w:r>
        <w:rPr>
          <w:lang w:eastAsia="ja-JP"/>
        </w:rPr>
        <w:t>2.6</w:t>
      </w:r>
      <w:r>
        <w:rPr>
          <w:lang w:eastAsia="ja-JP"/>
        </w:rPr>
        <w:tab/>
      </w:r>
      <w:r>
        <w:rPr>
          <w:rFonts w:hint="eastAsia"/>
          <w:lang w:eastAsia="ja-JP"/>
        </w:rPr>
        <w:t>RAN6</w:t>
      </w:r>
    </w:p>
    <w:p w14:paraId="760EC591" w14:textId="77777777" w:rsidR="00F9174B" w:rsidRDefault="00827744">
      <w:pPr>
        <w:pStyle w:val="Heading4"/>
        <w:rPr>
          <w:lang w:eastAsia="ja-JP"/>
        </w:rPr>
      </w:pPr>
      <w:r>
        <w:rPr>
          <w:lang w:eastAsia="ja-JP"/>
        </w:rPr>
        <w:t>2.6.1</w:t>
      </w:r>
      <w:r>
        <w:rPr>
          <w:lang w:eastAsia="ja-JP"/>
        </w:rPr>
        <w:tab/>
        <w:t>Agreements</w:t>
      </w:r>
    </w:p>
    <w:p w14:paraId="2FBE4609" w14:textId="77777777" w:rsidR="00F9174B" w:rsidRDefault="00827744">
      <w:pPr>
        <w:pStyle w:val="Heading4"/>
        <w:rPr>
          <w:rFonts w:cs="Arial"/>
          <w:lang w:eastAsia="ja-JP"/>
        </w:rPr>
      </w:pPr>
      <w:r>
        <w:rPr>
          <w:lang w:eastAsia="ja-JP"/>
        </w:rPr>
        <w:t>2.6.2</w:t>
      </w:r>
      <w:r>
        <w:rPr>
          <w:lang w:eastAsia="ja-JP"/>
        </w:rPr>
        <w:tab/>
        <w:t>Remaining Open issues</w:t>
      </w:r>
    </w:p>
    <w:p w14:paraId="31919293" w14:textId="77777777" w:rsidR="00F9174B" w:rsidRDefault="00F9174B">
      <w:pPr>
        <w:rPr>
          <w:rFonts w:ascii="Arial" w:hAnsi="Arial" w:cs="Arial"/>
          <w:iCs/>
          <w:color w:val="FF0000"/>
          <w:lang w:val="en-US"/>
        </w:rPr>
      </w:pPr>
    </w:p>
    <w:p w14:paraId="38B0D9EF" w14:textId="77777777" w:rsidR="00F9174B" w:rsidRDefault="00827744">
      <w:pPr>
        <w:pStyle w:val="Heading2"/>
      </w:pPr>
      <w:r>
        <w:t>4.</w:t>
      </w:r>
      <w:r>
        <w:tab/>
        <w:t>References</w:t>
      </w:r>
    </w:p>
    <w:p w14:paraId="73A57911" w14:textId="77777777" w:rsidR="00F9174B" w:rsidRDefault="0082774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2E2279D0" w14:textId="77777777" w:rsidR="00F9174B" w:rsidRDefault="00F9174B">
      <w:pPr>
        <w:overflowPunct/>
        <w:autoSpaceDE/>
        <w:autoSpaceDN/>
        <w:snapToGrid w:val="0"/>
        <w:spacing w:after="0"/>
        <w:textAlignment w:val="auto"/>
        <w:rPr>
          <w:rFonts w:ascii="Arial" w:hAnsi="Arial" w:cs="Arial"/>
          <w:b/>
          <w:bCs/>
          <w:lang w:eastAsia="ja-JP"/>
        </w:rPr>
      </w:pPr>
    </w:p>
    <w:p w14:paraId="7BA7E51E" w14:textId="77777777" w:rsidR="00F9174B" w:rsidRDefault="00827744">
      <w:pPr>
        <w:pStyle w:val="Heading2"/>
        <w:rPr>
          <w:lang w:eastAsia="ja-JP"/>
        </w:rPr>
      </w:pPr>
      <w:r>
        <w:rPr>
          <w:lang w:eastAsia="ja-JP"/>
        </w:rPr>
        <w:t>4.1</w:t>
      </w:r>
      <w:r>
        <w:rPr>
          <w:lang w:eastAsia="ja-JP"/>
        </w:rPr>
        <w:tab/>
        <w:t>RAN1</w:t>
      </w:r>
    </w:p>
    <w:p w14:paraId="730DB7D1" w14:textId="77777777" w:rsidR="00F9174B" w:rsidRDefault="00827744">
      <w:pPr>
        <w:tabs>
          <w:tab w:val="left" w:pos="567"/>
        </w:tabs>
        <w:snapToGrid w:val="0"/>
        <w:rPr>
          <w:rFonts w:ascii="Arial" w:hAnsi="Arial" w:cs="Arial"/>
          <w:b/>
          <w:bCs/>
        </w:rPr>
      </w:pPr>
      <w:r>
        <w:rPr>
          <w:rFonts w:ascii="Arial" w:hAnsi="Arial" w:cs="Arial"/>
          <w:b/>
          <w:lang w:eastAsia="en-US"/>
        </w:rPr>
        <w:t>RAN1#109-e, May 9th – 20th, 2022, e-meeting</w:t>
      </w:r>
    </w:p>
    <w:p w14:paraId="7051B9F2" w14:textId="77777777" w:rsidR="00F9174B" w:rsidRDefault="00F9174B">
      <w:pPr>
        <w:tabs>
          <w:tab w:val="left" w:pos="567"/>
        </w:tabs>
        <w:overflowPunct/>
        <w:autoSpaceDE/>
        <w:autoSpaceDN/>
        <w:snapToGrid w:val="0"/>
        <w:spacing w:after="0"/>
        <w:textAlignment w:val="auto"/>
        <w:rPr>
          <w:rFonts w:ascii="Arial" w:hAnsi="Arial" w:cs="Arial"/>
          <w:bCs/>
          <w:lang w:eastAsia="ja-JP"/>
        </w:rPr>
      </w:pPr>
    </w:p>
    <w:p w14:paraId="0A575DD9" w14:textId="77777777" w:rsidR="00F9174B" w:rsidRDefault="00F9174B">
      <w:pPr>
        <w:tabs>
          <w:tab w:val="left" w:pos="567"/>
        </w:tabs>
        <w:overflowPunct/>
        <w:autoSpaceDE/>
        <w:autoSpaceDN/>
        <w:snapToGrid w:val="0"/>
        <w:spacing w:after="0"/>
        <w:textAlignment w:val="auto"/>
        <w:rPr>
          <w:rFonts w:ascii="Arial" w:hAnsi="Arial" w:cs="Arial"/>
          <w:bCs/>
          <w:lang w:eastAsia="ja-JP"/>
        </w:rPr>
      </w:pPr>
    </w:p>
    <w:p w14:paraId="54B7F4B8" w14:textId="77777777" w:rsidR="00F9174B" w:rsidRDefault="00827744">
      <w:pPr>
        <w:tabs>
          <w:tab w:val="left" w:pos="567"/>
        </w:tabs>
        <w:snapToGrid w:val="0"/>
        <w:rPr>
          <w:rFonts w:ascii="Arial" w:hAnsi="Arial" w:cs="Arial"/>
          <w:bCs/>
          <w:u w:val="single"/>
        </w:rPr>
      </w:pPr>
      <w:r>
        <w:rPr>
          <w:rFonts w:ascii="Arial" w:hAnsi="Arial" w:cs="Arial"/>
          <w:bCs/>
          <w:u w:val="single"/>
        </w:rPr>
        <w:t>Submitted TDocs to AI 9.12.2</w:t>
      </w:r>
    </w:p>
    <w:p w14:paraId="30341B19"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R1-2205831</w:t>
      </w:r>
      <w:r>
        <w:rPr>
          <w:rFonts w:ascii="Arial" w:hAnsi="Arial" w:cs="Arial"/>
          <w:bCs/>
          <w:sz w:val="20"/>
          <w:szCs w:val="20"/>
        </w:rPr>
        <w:tab/>
        <w:t>Remaining Issues for HARQ</w:t>
      </w:r>
      <w:r>
        <w:rPr>
          <w:rFonts w:ascii="Arial" w:hAnsi="Arial" w:cs="Arial"/>
          <w:bCs/>
          <w:sz w:val="20"/>
          <w:szCs w:val="20"/>
        </w:rPr>
        <w:tab/>
        <w:t>Lockheed Martin</w:t>
      </w:r>
    </w:p>
    <w:p w14:paraId="5A006945"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R1-2205857</w:t>
      </w:r>
      <w:r>
        <w:rPr>
          <w:rFonts w:ascii="Arial" w:hAnsi="Arial" w:cs="Arial"/>
          <w:bCs/>
          <w:sz w:val="20"/>
          <w:szCs w:val="20"/>
        </w:rPr>
        <w:tab/>
        <w:t>Discussion on disabling of HARQ feedback for IoT NTN</w:t>
      </w:r>
      <w:r>
        <w:rPr>
          <w:rFonts w:ascii="Arial" w:hAnsi="Arial" w:cs="Arial"/>
          <w:bCs/>
          <w:sz w:val="20"/>
          <w:szCs w:val="20"/>
        </w:rPr>
        <w:tab/>
        <w:t>Huawei, HiSilicon</w:t>
      </w:r>
    </w:p>
    <w:p w14:paraId="5CD35814"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R1-2206010</w:t>
      </w:r>
      <w:r>
        <w:rPr>
          <w:rFonts w:ascii="Arial" w:hAnsi="Arial" w:cs="Arial"/>
          <w:bCs/>
          <w:sz w:val="20"/>
          <w:szCs w:val="20"/>
        </w:rPr>
        <w:tab/>
        <w:t>Discussion on disabling of HARQ feedback for IoT NTN</w:t>
      </w:r>
      <w:r>
        <w:rPr>
          <w:rFonts w:ascii="Arial" w:hAnsi="Arial" w:cs="Arial"/>
          <w:bCs/>
          <w:sz w:val="20"/>
          <w:szCs w:val="20"/>
        </w:rPr>
        <w:tab/>
        <w:t>Spreadtrum Communications</w:t>
      </w:r>
    </w:p>
    <w:p w14:paraId="32E6D334"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R1-2206022</w:t>
      </w:r>
      <w:r>
        <w:rPr>
          <w:rFonts w:ascii="Arial" w:hAnsi="Arial" w:cs="Arial"/>
          <w:bCs/>
          <w:sz w:val="20"/>
          <w:szCs w:val="20"/>
        </w:rPr>
        <w:tab/>
        <w:t>Discussion on disabling of HARQ feedback for IoT-NTN</w:t>
      </w:r>
      <w:r>
        <w:rPr>
          <w:rFonts w:ascii="Arial" w:hAnsi="Arial" w:cs="Arial"/>
          <w:bCs/>
          <w:sz w:val="20"/>
          <w:szCs w:val="20"/>
        </w:rPr>
        <w:tab/>
        <w:t>ZTE</w:t>
      </w:r>
    </w:p>
    <w:p w14:paraId="5C4146DC"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R1-2206135</w:t>
      </w:r>
      <w:r>
        <w:rPr>
          <w:rFonts w:ascii="Arial" w:hAnsi="Arial" w:cs="Arial"/>
          <w:bCs/>
          <w:sz w:val="20"/>
          <w:szCs w:val="20"/>
        </w:rPr>
        <w:tab/>
        <w:t>On disabling HARQ feedback for IoT-NTN</w:t>
      </w:r>
      <w:r>
        <w:rPr>
          <w:rFonts w:ascii="Arial" w:hAnsi="Arial" w:cs="Arial"/>
          <w:bCs/>
          <w:sz w:val="20"/>
          <w:szCs w:val="20"/>
        </w:rPr>
        <w:tab/>
        <w:t>Sony</w:t>
      </w:r>
    </w:p>
    <w:p w14:paraId="4F483F03"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R1-2206139</w:t>
      </w:r>
      <w:r>
        <w:rPr>
          <w:rFonts w:ascii="Arial" w:hAnsi="Arial" w:cs="Arial"/>
          <w:bCs/>
          <w:sz w:val="20"/>
          <w:szCs w:val="20"/>
        </w:rPr>
        <w:tab/>
        <w:t>Disabling of HARQ for IoT NTN</w:t>
      </w:r>
      <w:r>
        <w:rPr>
          <w:rFonts w:ascii="Arial" w:hAnsi="Arial" w:cs="Arial"/>
          <w:bCs/>
          <w:sz w:val="20"/>
          <w:szCs w:val="20"/>
        </w:rPr>
        <w:tab/>
        <w:t>MediaTek Inc.</w:t>
      </w:r>
    </w:p>
    <w:p w14:paraId="21A62ECF"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R1-2206312</w:t>
      </w:r>
      <w:r>
        <w:rPr>
          <w:rFonts w:ascii="Arial" w:hAnsi="Arial" w:cs="Arial"/>
          <w:bCs/>
          <w:sz w:val="20"/>
          <w:szCs w:val="20"/>
        </w:rPr>
        <w:tab/>
        <w:t>Discussion on disabling of HARQ feedback for IoT NTN</w:t>
      </w:r>
      <w:r>
        <w:rPr>
          <w:rFonts w:ascii="Arial" w:hAnsi="Arial" w:cs="Arial"/>
          <w:bCs/>
          <w:sz w:val="20"/>
          <w:szCs w:val="20"/>
        </w:rPr>
        <w:tab/>
        <w:t>OPPO</w:t>
      </w:r>
    </w:p>
    <w:p w14:paraId="7F5E7112"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R1-2206388</w:t>
      </w:r>
      <w:r>
        <w:rPr>
          <w:rFonts w:ascii="Arial" w:hAnsi="Arial" w:cs="Arial"/>
          <w:bCs/>
          <w:sz w:val="20"/>
          <w:szCs w:val="20"/>
        </w:rPr>
        <w:tab/>
        <w:t>Discussion on disabling of HARQ feedback for IoT NTN</w:t>
      </w:r>
      <w:r>
        <w:rPr>
          <w:rFonts w:ascii="Arial" w:hAnsi="Arial" w:cs="Arial"/>
          <w:bCs/>
          <w:sz w:val="20"/>
          <w:szCs w:val="20"/>
        </w:rPr>
        <w:tab/>
        <w:t>CATT</w:t>
      </w:r>
    </w:p>
    <w:p w14:paraId="6524B061"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R1-2206480</w:t>
      </w:r>
      <w:r>
        <w:rPr>
          <w:rFonts w:ascii="Arial" w:hAnsi="Arial" w:cs="Arial"/>
          <w:bCs/>
          <w:sz w:val="20"/>
          <w:szCs w:val="20"/>
        </w:rPr>
        <w:tab/>
        <w:t>Disabling of HARQ feedback for IoT NTN</w:t>
      </w:r>
      <w:r>
        <w:rPr>
          <w:rFonts w:ascii="Arial" w:hAnsi="Arial" w:cs="Arial"/>
          <w:bCs/>
          <w:sz w:val="20"/>
          <w:szCs w:val="20"/>
        </w:rPr>
        <w:tab/>
        <w:t>NEC</w:t>
      </w:r>
    </w:p>
    <w:p w14:paraId="4B8F685B"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R1-2206632</w:t>
      </w:r>
      <w:r>
        <w:rPr>
          <w:rFonts w:ascii="Arial" w:hAnsi="Arial" w:cs="Arial"/>
          <w:bCs/>
          <w:sz w:val="20"/>
          <w:szCs w:val="20"/>
        </w:rPr>
        <w:tab/>
        <w:t>Discussion on HARQ operation for IoT NTN</w:t>
      </w:r>
      <w:r>
        <w:rPr>
          <w:rFonts w:ascii="Arial" w:hAnsi="Arial" w:cs="Arial"/>
          <w:bCs/>
          <w:sz w:val="20"/>
          <w:szCs w:val="20"/>
        </w:rPr>
        <w:tab/>
        <w:t>Xiaomi</w:t>
      </w:r>
    </w:p>
    <w:p w14:paraId="57A35335"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R1-2206850</w:t>
      </w:r>
      <w:r>
        <w:rPr>
          <w:rFonts w:ascii="Arial" w:hAnsi="Arial" w:cs="Arial"/>
          <w:bCs/>
          <w:sz w:val="20"/>
          <w:szCs w:val="20"/>
        </w:rPr>
        <w:tab/>
        <w:t>Disabling of HARQ feedback for IoT NTN</w:t>
      </w:r>
      <w:r>
        <w:rPr>
          <w:rFonts w:ascii="Arial" w:hAnsi="Arial" w:cs="Arial"/>
          <w:bCs/>
          <w:sz w:val="20"/>
          <w:szCs w:val="20"/>
        </w:rPr>
        <w:tab/>
        <w:t>Samsung</w:t>
      </w:r>
    </w:p>
    <w:p w14:paraId="2FBC0487"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R1-2206881</w:t>
      </w:r>
      <w:r>
        <w:rPr>
          <w:rFonts w:ascii="Arial" w:hAnsi="Arial" w:cs="Arial"/>
          <w:bCs/>
          <w:sz w:val="20"/>
          <w:szCs w:val="20"/>
        </w:rPr>
        <w:tab/>
        <w:t>Disabling of HARQ feedback for IoT NTN</w:t>
      </w:r>
      <w:r>
        <w:rPr>
          <w:rFonts w:ascii="Arial" w:hAnsi="Arial" w:cs="Arial"/>
          <w:bCs/>
          <w:sz w:val="20"/>
          <w:szCs w:val="20"/>
        </w:rPr>
        <w:tab/>
        <w:t>Nordic Semiconductor ASA</w:t>
      </w:r>
    </w:p>
    <w:p w14:paraId="5B067493"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R1-2206933</w:t>
      </w:r>
      <w:r>
        <w:rPr>
          <w:rFonts w:ascii="Arial" w:hAnsi="Arial" w:cs="Arial"/>
          <w:bCs/>
          <w:sz w:val="20"/>
          <w:szCs w:val="20"/>
        </w:rPr>
        <w:tab/>
        <w:t>Discussion on disabling of HARQ feedback for IoT NTN</w:t>
      </w:r>
      <w:r>
        <w:rPr>
          <w:rFonts w:ascii="Arial" w:hAnsi="Arial" w:cs="Arial"/>
          <w:bCs/>
          <w:sz w:val="20"/>
          <w:szCs w:val="20"/>
        </w:rPr>
        <w:tab/>
        <w:t>CMCC</w:t>
      </w:r>
    </w:p>
    <w:p w14:paraId="21B31AD3"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R1-2207080</w:t>
      </w:r>
      <w:r>
        <w:rPr>
          <w:rFonts w:ascii="Arial" w:hAnsi="Arial" w:cs="Arial"/>
          <w:bCs/>
          <w:sz w:val="20"/>
          <w:szCs w:val="20"/>
        </w:rPr>
        <w:tab/>
        <w:t>On disabling HARQ feedback for IOT-NTN</w:t>
      </w:r>
      <w:r>
        <w:rPr>
          <w:rFonts w:ascii="Arial" w:hAnsi="Arial" w:cs="Arial"/>
          <w:bCs/>
          <w:sz w:val="20"/>
          <w:szCs w:val="20"/>
        </w:rPr>
        <w:tab/>
        <w:t>Mavenir</w:t>
      </w:r>
    </w:p>
    <w:p w14:paraId="6F18C7F2"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R1-2207144</w:t>
      </w:r>
      <w:r>
        <w:rPr>
          <w:rFonts w:ascii="Arial" w:hAnsi="Arial" w:cs="Arial"/>
          <w:bCs/>
          <w:sz w:val="20"/>
          <w:szCs w:val="20"/>
        </w:rPr>
        <w:tab/>
        <w:t>Discussions on disabling of HARQ feedback for IoT NTN</w:t>
      </w:r>
      <w:r>
        <w:rPr>
          <w:rFonts w:ascii="Arial" w:hAnsi="Arial" w:cs="Arial"/>
          <w:bCs/>
          <w:sz w:val="20"/>
          <w:szCs w:val="20"/>
        </w:rPr>
        <w:tab/>
        <w:t>Sharp</w:t>
      </w:r>
    </w:p>
    <w:p w14:paraId="24BB9111"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R1-2207150</w:t>
      </w:r>
      <w:r>
        <w:rPr>
          <w:rFonts w:ascii="Arial" w:hAnsi="Arial" w:cs="Arial"/>
          <w:bCs/>
          <w:sz w:val="20"/>
          <w:szCs w:val="20"/>
        </w:rPr>
        <w:tab/>
        <w:t>Disabling HARQ feedback in IoT-NTN</w:t>
      </w:r>
      <w:r>
        <w:rPr>
          <w:rFonts w:ascii="Arial" w:hAnsi="Arial" w:cs="Arial"/>
          <w:bCs/>
          <w:sz w:val="20"/>
          <w:szCs w:val="20"/>
        </w:rPr>
        <w:tab/>
        <w:t>InterDigital, Inc.</w:t>
      </w:r>
    </w:p>
    <w:p w14:paraId="4AB90048"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R1-2207257</w:t>
      </w:r>
      <w:r>
        <w:rPr>
          <w:rFonts w:ascii="Arial" w:hAnsi="Arial" w:cs="Arial"/>
          <w:bCs/>
          <w:sz w:val="20"/>
          <w:szCs w:val="20"/>
        </w:rPr>
        <w:tab/>
        <w:t>Disabling HARQ Feedback for IoT-NTN</w:t>
      </w:r>
      <w:r>
        <w:rPr>
          <w:rFonts w:ascii="Arial" w:hAnsi="Arial" w:cs="Arial"/>
          <w:bCs/>
          <w:sz w:val="20"/>
          <w:szCs w:val="20"/>
        </w:rPr>
        <w:tab/>
        <w:t>Qualcomm Incorporated</w:t>
      </w:r>
    </w:p>
    <w:p w14:paraId="364CB275"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R1-2207291</w:t>
      </w:r>
      <w:r>
        <w:rPr>
          <w:rFonts w:ascii="Arial" w:hAnsi="Arial" w:cs="Arial"/>
          <w:bCs/>
          <w:sz w:val="20"/>
          <w:szCs w:val="20"/>
        </w:rPr>
        <w:tab/>
        <w:t>Disabling of HARQ feedback for NB-IoT/eMTC over NTN</w:t>
      </w:r>
      <w:r>
        <w:rPr>
          <w:rFonts w:ascii="Arial" w:hAnsi="Arial" w:cs="Arial"/>
          <w:bCs/>
          <w:sz w:val="20"/>
          <w:szCs w:val="20"/>
        </w:rPr>
        <w:tab/>
        <w:t>Nokia, Nokia Shanghai Bell</w:t>
      </w:r>
    </w:p>
    <w:p w14:paraId="37670659"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lastRenderedPageBreak/>
        <w:t>R1-2207295</w:t>
      </w:r>
      <w:r>
        <w:rPr>
          <w:rFonts w:ascii="Arial" w:hAnsi="Arial" w:cs="Arial"/>
          <w:bCs/>
          <w:sz w:val="20"/>
          <w:szCs w:val="20"/>
        </w:rPr>
        <w:tab/>
        <w:t>Disabling of HARQ feedback for IoT NTN</w:t>
      </w:r>
      <w:r>
        <w:rPr>
          <w:rFonts w:ascii="Arial" w:hAnsi="Arial" w:cs="Arial"/>
          <w:bCs/>
          <w:sz w:val="20"/>
          <w:szCs w:val="20"/>
        </w:rPr>
        <w:tab/>
        <w:t>Lenovo</w:t>
      </w:r>
    </w:p>
    <w:p w14:paraId="066B67FE"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R1-2207355</w:t>
      </w:r>
      <w:r>
        <w:rPr>
          <w:rFonts w:ascii="Arial" w:hAnsi="Arial" w:cs="Arial"/>
          <w:bCs/>
          <w:sz w:val="20"/>
          <w:szCs w:val="20"/>
        </w:rPr>
        <w:tab/>
        <w:t>HARQ Feedback Disabling for IoT NTN</w:t>
      </w:r>
      <w:r>
        <w:rPr>
          <w:rFonts w:ascii="Arial" w:hAnsi="Arial" w:cs="Arial"/>
          <w:bCs/>
          <w:sz w:val="20"/>
          <w:szCs w:val="20"/>
        </w:rPr>
        <w:tab/>
        <w:t>Apple</w:t>
      </w:r>
    </w:p>
    <w:p w14:paraId="61811EB6"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R1-2207570</w:t>
      </w:r>
      <w:r>
        <w:rPr>
          <w:rFonts w:ascii="Arial" w:hAnsi="Arial" w:cs="Arial"/>
          <w:bCs/>
          <w:sz w:val="20"/>
          <w:szCs w:val="20"/>
        </w:rPr>
        <w:tab/>
        <w:t>On disabling HARQ feedback for IoT NTN</w:t>
      </w:r>
      <w:r>
        <w:rPr>
          <w:rFonts w:ascii="Arial" w:hAnsi="Arial" w:cs="Arial"/>
          <w:bCs/>
          <w:sz w:val="20"/>
          <w:szCs w:val="20"/>
        </w:rPr>
        <w:tab/>
        <w:t>Ericsson</w:t>
      </w:r>
    </w:p>
    <w:p w14:paraId="31842919"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R1-2207772</w:t>
      </w:r>
      <w:r>
        <w:rPr>
          <w:rFonts w:ascii="Arial" w:hAnsi="Arial" w:cs="Arial"/>
          <w:bCs/>
          <w:sz w:val="20"/>
          <w:szCs w:val="20"/>
        </w:rPr>
        <w:tab/>
        <w:t>FLS#1 on disabling of HARQ feedback for IoT NTN</w:t>
      </w:r>
      <w:r>
        <w:rPr>
          <w:rFonts w:ascii="Arial" w:hAnsi="Arial" w:cs="Arial"/>
          <w:bCs/>
          <w:sz w:val="20"/>
          <w:szCs w:val="20"/>
        </w:rPr>
        <w:tab/>
        <w:t>Moderator (Lenovo)</w:t>
      </w:r>
    </w:p>
    <w:p w14:paraId="36297D06" w14:textId="77777777" w:rsidR="00F9174B" w:rsidRDefault="00827744">
      <w:pPr>
        <w:pStyle w:val="ListParagraph"/>
        <w:numPr>
          <w:ilvl w:val="0"/>
          <w:numId w:val="21"/>
        </w:numPr>
        <w:tabs>
          <w:tab w:val="left" w:pos="567"/>
        </w:tabs>
        <w:snapToGrid w:val="0"/>
        <w:ind w:leftChars="0"/>
        <w:rPr>
          <w:rFonts w:ascii="Arial" w:hAnsi="Arial" w:cs="Arial"/>
          <w:bCs/>
          <w:sz w:val="20"/>
          <w:szCs w:val="20"/>
        </w:rPr>
      </w:pPr>
      <w:r>
        <w:rPr>
          <w:rFonts w:ascii="Arial" w:hAnsi="Arial" w:cs="Arial"/>
          <w:bCs/>
          <w:sz w:val="20"/>
          <w:szCs w:val="20"/>
        </w:rPr>
        <w:t>R1-2207949</w:t>
      </w:r>
      <w:r>
        <w:rPr>
          <w:rFonts w:ascii="Arial" w:hAnsi="Arial" w:cs="Arial"/>
          <w:bCs/>
          <w:sz w:val="20"/>
          <w:szCs w:val="20"/>
        </w:rPr>
        <w:tab/>
        <w:t>FLS#1 on disabling of HARQ feedback for IoT NTN</w:t>
      </w:r>
      <w:r>
        <w:rPr>
          <w:rFonts w:ascii="Arial" w:hAnsi="Arial" w:cs="Arial"/>
          <w:bCs/>
          <w:sz w:val="20"/>
          <w:szCs w:val="20"/>
        </w:rPr>
        <w:tab/>
        <w:t>Moderator (Lenovo)</w:t>
      </w:r>
    </w:p>
    <w:p w14:paraId="70AE19F5" w14:textId="77777777" w:rsidR="00F9174B" w:rsidRDefault="00F9174B">
      <w:pPr>
        <w:tabs>
          <w:tab w:val="left" w:pos="567"/>
        </w:tabs>
        <w:snapToGrid w:val="0"/>
        <w:rPr>
          <w:rFonts w:ascii="Arial" w:hAnsi="Arial" w:cs="Arial"/>
          <w:bCs/>
        </w:rPr>
      </w:pPr>
    </w:p>
    <w:p w14:paraId="6226B07B" w14:textId="77777777" w:rsidR="00F9174B" w:rsidRDefault="00827744">
      <w:pPr>
        <w:tabs>
          <w:tab w:val="left" w:pos="567"/>
        </w:tabs>
        <w:snapToGrid w:val="0"/>
        <w:rPr>
          <w:rFonts w:ascii="Arial" w:hAnsi="Arial" w:cs="Arial"/>
          <w:bCs/>
          <w:u w:val="single"/>
        </w:rPr>
      </w:pPr>
      <w:r>
        <w:rPr>
          <w:rFonts w:ascii="Arial" w:hAnsi="Arial" w:cs="Arial"/>
          <w:bCs/>
          <w:u w:val="single"/>
        </w:rPr>
        <w:t>Submitted TDocs to AI 9.12.3</w:t>
      </w:r>
    </w:p>
    <w:p w14:paraId="014D4EDB"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R1-2205858</w:t>
      </w:r>
      <w:r>
        <w:rPr>
          <w:rFonts w:ascii="Arial" w:hAnsi="Arial" w:cs="Arial"/>
          <w:bCs/>
          <w:sz w:val="20"/>
          <w:szCs w:val="20"/>
        </w:rPr>
        <w:tab/>
        <w:t>Discussion on improved GNSS operations for IoT NTN</w:t>
      </w:r>
      <w:r>
        <w:rPr>
          <w:rFonts w:ascii="Arial" w:hAnsi="Arial" w:cs="Arial"/>
          <w:bCs/>
          <w:sz w:val="20"/>
          <w:szCs w:val="20"/>
        </w:rPr>
        <w:tab/>
        <w:t>Huawei, HiSilicon</w:t>
      </w:r>
    </w:p>
    <w:p w14:paraId="0DD6D7D1"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R1-2206011</w:t>
      </w:r>
      <w:r>
        <w:rPr>
          <w:rFonts w:ascii="Arial" w:hAnsi="Arial" w:cs="Arial"/>
          <w:bCs/>
          <w:sz w:val="20"/>
          <w:szCs w:val="20"/>
        </w:rPr>
        <w:tab/>
        <w:t>Discussion on improved GNSS operations for IoT NTN</w:t>
      </w:r>
      <w:r>
        <w:rPr>
          <w:rFonts w:ascii="Arial" w:hAnsi="Arial" w:cs="Arial"/>
          <w:bCs/>
          <w:sz w:val="20"/>
          <w:szCs w:val="20"/>
        </w:rPr>
        <w:tab/>
        <w:t>Spreadtrum Communications</w:t>
      </w:r>
    </w:p>
    <w:p w14:paraId="06221F82"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R1-2206023</w:t>
      </w:r>
      <w:r>
        <w:rPr>
          <w:rFonts w:ascii="Arial" w:hAnsi="Arial" w:cs="Arial"/>
          <w:bCs/>
          <w:sz w:val="20"/>
          <w:szCs w:val="20"/>
        </w:rPr>
        <w:tab/>
        <w:t>Discussion on improved GNSS operation for IoT-NTN</w:t>
      </w:r>
      <w:r>
        <w:rPr>
          <w:rFonts w:ascii="Arial" w:hAnsi="Arial" w:cs="Arial"/>
          <w:bCs/>
          <w:sz w:val="20"/>
          <w:szCs w:val="20"/>
        </w:rPr>
        <w:tab/>
        <w:t>ZTE</w:t>
      </w:r>
    </w:p>
    <w:p w14:paraId="661F6E24"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R1-2206140</w:t>
      </w:r>
      <w:r>
        <w:rPr>
          <w:rFonts w:ascii="Arial" w:hAnsi="Arial" w:cs="Arial"/>
          <w:bCs/>
          <w:sz w:val="20"/>
          <w:szCs w:val="20"/>
        </w:rPr>
        <w:tab/>
        <w:t>Improved GNSS operations for IoT NTN</w:t>
      </w:r>
      <w:r>
        <w:rPr>
          <w:rFonts w:ascii="Arial" w:hAnsi="Arial" w:cs="Arial"/>
          <w:bCs/>
          <w:sz w:val="20"/>
          <w:szCs w:val="20"/>
        </w:rPr>
        <w:tab/>
        <w:t>MediaTek Inc.</w:t>
      </w:r>
    </w:p>
    <w:p w14:paraId="5ED14E34"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R1-2206313</w:t>
      </w:r>
      <w:r>
        <w:rPr>
          <w:rFonts w:ascii="Arial" w:hAnsi="Arial" w:cs="Arial"/>
          <w:bCs/>
          <w:sz w:val="20"/>
          <w:szCs w:val="20"/>
        </w:rPr>
        <w:tab/>
        <w:t>Discussion on improved GNSS operations for IoT NTN</w:t>
      </w:r>
      <w:r>
        <w:rPr>
          <w:rFonts w:ascii="Arial" w:hAnsi="Arial" w:cs="Arial"/>
          <w:bCs/>
          <w:sz w:val="20"/>
          <w:szCs w:val="20"/>
        </w:rPr>
        <w:tab/>
        <w:t>OPPO</w:t>
      </w:r>
    </w:p>
    <w:p w14:paraId="1EB2116F"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R1-2206389</w:t>
      </w:r>
      <w:r>
        <w:rPr>
          <w:rFonts w:ascii="Arial" w:hAnsi="Arial" w:cs="Arial"/>
          <w:bCs/>
          <w:sz w:val="20"/>
          <w:szCs w:val="20"/>
        </w:rPr>
        <w:tab/>
        <w:t>Improved GNSS operations for IoT NTN</w:t>
      </w:r>
      <w:r>
        <w:rPr>
          <w:rFonts w:ascii="Arial" w:hAnsi="Arial" w:cs="Arial"/>
          <w:bCs/>
          <w:sz w:val="20"/>
          <w:szCs w:val="20"/>
        </w:rPr>
        <w:tab/>
        <w:t>CATT</w:t>
      </w:r>
    </w:p>
    <w:p w14:paraId="3053A26C"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R1-2206633</w:t>
      </w:r>
      <w:r>
        <w:rPr>
          <w:rFonts w:ascii="Arial" w:hAnsi="Arial" w:cs="Arial"/>
          <w:bCs/>
          <w:sz w:val="20"/>
          <w:szCs w:val="20"/>
        </w:rPr>
        <w:tab/>
        <w:t>Discussion on improved GNSS operation for IoT NTN</w:t>
      </w:r>
      <w:r>
        <w:rPr>
          <w:rFonts w:ascii="Arial" w:hAnsi="Arial" w:cs="Arial"/>
          <w:bCs/>
          <w:sz w:val="20"/>
          <w:szCs w:val="20"/>
        </w:rPr>
        <w:tab/>
        <w:t>Xiaomi</w:t>
      </w:r>
    </w:p>
    <w:p w14:paraId="138ACD92"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R1-2206851</w:t>
      </w:r>
      <w:r>
        <w:rPr>
          <w:rFonts w:ascii="Arial" w:hAnsi="Arial" w:cs="Arial"/>
          <w:bCs/>
          <w:sz w:val="20"/>
          <w:szCs w:val="20"/>
        </w:rPr>
        <w:tab/>
        <w:t>Improved GNSS operations for IoT NTN</w:t>
      </w:r>
      <w:r>
        <w:rPr>
          <w:rFonts w:ascii="Arial" w:hAnsi="Arial" w:cs="Arial"/>
          <w:bCs/>
          <w:sz w:val="20"/>
          <w:szCs w:val="20"/>
        </w:rPr>
        <w:tab/>
        <w:t>Samsung</w:t>
      </w:r>
    </w:p>
    <w:p w14:paraId="4EFD26B1"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R1-2206882</w:t>
      </w:r>
      <w:r>
        <w:rPr>
          <w:rFonts w:ascii="Arial" w:hAnsi="Arial" w:cs="Arial"/>
          <w:bCs/>
          <w:sz w:val="20"/>
          <w:szCs w:val="20"/>
        </w:rPr>
        <w:tab/>
        <w:t>Improved GNSS operations for IoT NTN</w:t>
      </w:r>
      <w:r>
        <w:rPr>
          <w:rFonts w:ascii="Arial" w:hAnsi="Arial" w:cs="Arial"/>
          <w:bCs/>
          <w:sz w:val="20"/>
          <w:szCs w:val="20"/>
        </w:rPr>
        <w:tab/>
        <w:t>Nordic Semiconductor ASA</w:t>
      </w:r>
    </w:p>
    <w:p w14:paraId="60C2272B"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R1-2206934</w:t>
      </w:r>
      <w:r>
        <w:rPr>
          <w:rFonts w:ascii="Arial" w:hAnsi="Arial" w:cs="Arial"/>
          <w:bCs/>
          <w:sz w:val="20"/>
          <w:szCs w:val="20"/>
        </w:rPr>
        <w:tab/>
        <w:t>Discussion on improved GNSS operations for IoT NTN</w:t>
      </w:r>
      <w:r>
        <w:rPr>
          <w:rFonts w:ascii="Arial" w:hAnsi="Arial" w:cs="Arial"/>
          <w:bCs/>
          <w:sz w:val="20"/>
          <w:szCs w:val="20"/>
        </w:rPr>
        <w:tab/>
        <w:t>CMCC</w:t>
      </w:r>
    </w:p>
    <w:p w14:paraId="136598C8"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R1-2207151</w:t>
      </w:r>
      <w:r>
        <w:rPr>
          <w:rFonts w:ascii="Arial" w:hAnsi="Arial" w:cs="Arial"/>
          <w:bCs/>
          <w:sz w:val="20"/>
          <w:szCs w:val="20"/>
        </w:rPr>
        <w:tab/>
        <w:t>On improved GNSS operation for IoT-NTN</w:t>
      </w:r>
      <w:r>
        <w:rPr>
          <w:rFonts w:ascii="Arial" w:hAnsi="Arial" w:cs="Arial"/>
          <w:bCs/>
          <w:sz w:val="20"/>
          <w:szCs w:val="20"/>
        </w:rPr>
        <w:tab/>
        <w:t>InterDigital, Inc.</w:t>
      </w:r>
    </w:p>
    <w:p w14:paraId="3BA2E34F"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R1-2207258</w:t>
      </w:r>
      <w:r>
        <w:rPr>
          <w:rFonts w:ascii="Arial" w:hAnsi="Arial" w:cs="Arial"/>
          <w:bCs/>
          <w:sz w:val="20"/>
          <w:szCs w:val="20"/>
        </w:rPr>
        <w:tab/>
        <w:t>Improved GNSS Operations for IoT-NTN</w:t>
      </w:r>
      <w:r>
        <w:rPr>
          <w:rFonts w:ascii="Arial" w:hAnsi="Arial" w:cs="Arial"/>
          <w:bCs/>
          <w:sz w:val="20"/>
          <w:szCs w:val="20"/>
        </w:rPr>
        <w:tab/>
        <w:t>Qualcomm Incorporated</w:t>
      </w:r>
    </w:p>
    <w:p w14:paraId="72F71F71"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R1-2207259</w:t>
      </w:r>
      <w:r>
        <w:rPr>
          <w:rFonts w:ascii="Arial" w:hAnsi="Arial" w:cs="Arial"/>
          <w:bCs/>
          <w:sz w:val="20"/>
          <w:szCs w:val="20"/>
        </w:rPr>
        <w:tab/>
        <w:t>On improved GNSS operation in IoT NTN</w:t>
      </w:r>
      <w:r>
        <w:rPr>
          <w:rFonts w:ascii="Arial" w:hAnsi="Arial" w:cs="Arial"/>
          <w:bCs/>
          <w:sz w:val="20"/>
          <w:szCs w:val="20"/>
        </w:rPr>
        <w:tab/>
        <w:t>Ericsson Limited</w:t>
      </w:r>
    </w:p>
    <w:p w14:paraId="0D7E38C6"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R1-2207292</w:t>
      </w:r>
      <w:r>
        <w:rPr>
          <w:rFonts w:ascii="Arial" w:hAnsi="Arial" w:cs="Arial"/>
          <w:bCs/>
          <w:sz w:val="20"/>
          <w:szCs w:val="20"/>
        </w:rPr>
        <w:tab/>
        <w:t>Enhancements for long connections in NB-IoT/eMTC over NTN</w:t>
      </w:r>
      <w:r>
        <w:rPr>
          <w:rFonts w:ascii="Arial" w:hAnsi="Arial" w:cs="Arial"/>
          <w:bCs/>
          <w:sz w:val="20"/>
          <w:szCs w:val="20"/>
        </w:rPr>
        <w:tab/>
        <w:t>Nokia, Nokia Shanghai Bell</w:t>
      </w:r>
    </w:p>
    <w:p w14:paraId="3E54CE2F"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R1-2207296</w:t>
      </w:r>
      <w:r>
        <w:rPr>
          <w:rFonts w:ascii="Arial" w:hAnsi="Arial" w:cs="Arial"/>
          <w:bCs/>
          <w:sz w:val="20"/>
          <w:szCs w:val="20"/>
        </w:rPr>
        <w:tab/>
        <w:t>Improved GNSS operations for IoT NTN</w:t>
      </w:r>
      <w:r>
        <w:rPr>
          <w:rFonts w:ascii="Arial" w:hAnsi="Arial" w:cs="Arial"/>
          <w:bCs/>
          <w:sz w:val="20"/>
          <w:szCs w:val="20"/>
        </w:rPr>
        <w:tab/>
        <w:t>Lenovo</w:t>
      </w:r>
    </w:p>
    <w:p w14:paraId="5676BB23"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R1-2207356</w:t>
      </w:r>
      <w:r>
        <w:rPr>
          <w:rFonts w:ascii="Arial" w:hAnsi="Arial" w:cs="Arial"/>
          <w:bCs/>
          <w:sz w:val="20"/>
          <w:szCs w:val="20"/>
        </w:rPr>
        <w:tab/>
        <w:t>On Improved GNSS Operations for IoT NTN</w:t>
      </w:r>
      <w:r>
        <w:rPr>
          <w:rFonts w:ascii="Arial" w:hAnsi="Arial" w:cs="Arial"/>
          <w:bCs/>
          <w:sz w:val="20"/>
          <w:szCs w:val="20"/>
        </w:rPr>
        <w:tab/>
        <w:t>Apple</w:t>
      </w:r>
    </w:p>
    <w:p w14:paraId="23F6144B" w14:textId="77777777" w:rsidR="00F9174B" w:rsidRDefault="00827744">
      <w:pPr>
        <w:pStyle w:val="ListParagraph"/>
        <w:numPr>
          <w:ilvl w:val="0"/>
          <w:numId w:val="22"/>
        </w:numPr>
        <w:tabs>
          <w:tab w:val="left" w:pos="567"/>
        </w:tabs>
        <w:snapToGrid w:val="0"/>
        <w:ind w:leftChars="0"/>
        <w:rPr>
          <w:rFonts w:ascii="Arial" w:hAnsi="Arial" w:cs="Arial"/>
          <w:bCs/>
          <w:sz w:val="20"/>
          <w:szCs w:val="20"/>
        </w:rPr>
      </w:pPr>
      <w:r>
        <w:rPr>
          <w:rFonts w:ascii="Arial" w:hAnsi="Arial" w:cs="Arial"/>
          <w:bCs/>
          <w:sz w:val="20"/>
          <w:szCs w:val="20"/>
        </w:rPr>
        <w:t>R1-2207736</w:t>
      </w:r>
      <w:r>
        <w:rPr>
          <w:rFonts w:ascii="Arial" w:hAnsi="Arial" w:cs="Arial"/>
          <w:bCs/>
          <w:sz w:val="20"/>
          <w:szCs w:val="20"/>
        </w:rPr>
        <w:tab/>
        <w:t>Feature lead summary#1 of AI 9.12.4 on improved GNSS operations</w:t>
      </w:r>
      <w:r>
        <w:rPr>
          <w:rFonts w:ascii="Arial" w:hAnsi="Arial" w:cs="Arial"/>
          <w:bCs/>
          <w:sz w:val="20"/>
          <w:szCs w:val="20"/>
        </w:rPr>
        <w:tab/>
        <w:t>Moderator (MediaTek)</w:t>
      </w:r>
    </w:p>
    <w:p w14:paraId="32754E46" w14:textId="77777777" w:rsidR="00F9174B" w:rsidRDefault="00827744">
      <w:pPr>
        <w:pStyle w:val="ListParagraph"/>
        <w:numPr>
          <w:ilvl w:val="0"/>
          <w:numId w:val="22"/>
        </w:numPr>
        <w:ind w:leftChars="0"/>
        <w:rPr>
          <w:rFonts w:ascii="Arial" w:hAnsi="Arial" w:cs="Arial"/>
          <w:sz w:val="20"/>
          <w:szCs w:val="20"/>
          <w:lang w:eastAsia="zh-CN"/>
        </w:rPr>
      </w:pPr>
      <w:r>
        <w:rPr>
          <w:rFonts w:ascii="Arial" w:hAnsi="Arial" w:cs="Arial"/>
          <w:sz w:val="20"/>
          <w:szCs w:val="20"/>
          <w:lang w:eastAsia="zh-CN"/>
        </w:rPr>
        <w:t>R1-2207737</w:t>
      </w:r>
      <w:r>
        <w:rPr>
          <w:rFonts w:ascii="Arial" w:hAnsi="Arial" w:cs="Arial"/>
          <w:sz w:val="20"/>
          <w:szCs w:val="20"/>
          <w:lang w:eastAsia="zh-CN"/>
        </w:rPr>
        <w:tab/>
        <w:t>Feature lead summary#2 of AI 9.12.4 on improved GNSS operations</w:t>
      </w:r>
      <w:r>
        <w:rPr>
          <w:rFonts w:ascii="Arial" w:hAnsi="Arial" w:cs="Arial"/>
          <w:sz w:val="20"/>
          <w:szCs w:val="20"/>
          <w:lang w:eastAsia="zh-CN"/>
        </w:rPr>
        <w:tab/>
        <w:t>Moderator (MediaTek)</w:t>
      </w:r>
    </w:p>
    <w:p w14:paraId="5948A2C7" w14:textId="77777777" w:rsidR="00F9174B" w:rsidRDefault="00F9174B">
      <w:pPr>
        <w:tabs>
          <w:tab w:val="left" w:pos="567"/>
        </w:tabs>
        <w:snapToGrid w:val="0"/>
        <w:rPr>
          <w:rFonts w:ascii="Arial" w:hAnsi="Arial" w:cs="Arial"/>
          <w:bCs/>
        </w:rPr>
      </w:pPr>
    </w:p>
    <w:p w14:paraId="529993D8" w14:textId="77777777" w:rsidR="00F9174B" w:rsidRDefault="00F9174B">
      <w:pPr>
        <w:tabs>
          <w:tab w:val="left" w:pos="567"/>
        </w:tabs>
        <w:snapToGrid w:val="0"/>
        <w:rPr>
          <w:rFonts w:ascii="Arial" w:hAnsi="Arial" w:cs="Arial"/>
          <w:bCs/>
        </w:rPr>
      </w:pPr>
    </w:p>
    <w:p w14:paraId="68C9A05B" w14:textId="77777777" w:rsidR="00F9174B" w:rsidRDefault="00827744">
      <w:pPr>
        <w:pStyle w:val="Heading2"/>
        <w:rPr>
          <w:lang w:eastAsia="ja-JP"/>
        </w:rPr>
      </w:pPr>
      <w:r>
        <w:rPr>
          <w:lang w:eastAsia="ja-JP"/>
        </w:rPr>
        <w:t>4.2</w:t>
      </w:r>
      <w:r>
        <w:rPr>
          <w:lang w:eastAsia="ja-JP"/>
        </w:rPr>
        <w:tab/>
        <w:t>RAN2</w:t>
      </w:r>
    </w:p>
    <w:p w14:paraId="1A19A990" w14:textId="77777777" w:rsidR="00F9174B" w:rsidRDefault="00827744">
      <w:pPr>
        <w:tabs>
          <w:tab w:val="left" w:pos="567"/>
        </w:tabs>
        <w:snapToGrid w:val="0"/>
        <w:rPr>
          <w:rFonts w:ascii="Arial" w:hAnsi="Arial" w:cs="Arial"/>
          <w:b/>
          <w:bCs/>
        </w:rPr>
      </w:pPr>
      <w:r>
        <w:rPr>
          <w:rFonts w:ascii="Arial" w:hAnsi="Arial" w:cs="Arial"/>
          <w:b/>
          <w:lang w:eastAsia="en-US"/>
        </w:rPr>
        <w:t>RAN2#119-e, August 17th – 26th, 2022, e-meeting</w:t>
      </w:r>
    </w:p>
    <w:p w14:paraId="658ABF5E" w14:textId="77777777" w:rsidR="00F9174B" w:rsidRDefault="00F9174B">
      <w:pPr>
        <w:tabs>
          <w:tab w:val="left" w:pos="567"/>
        </w:tabs>
        <w:snapToGrid w:val="0"/>
        <w:rPr>
          <w:rFonts w:ascii="Arial" w:hAnsi="Arial" w:cs="Arial"/>
          <w:bCs/>
          <w:u w:val="single"/>
        </w:rPr>
      </w:pPr>
    </w:p>
    <w:p w14:paraId="16DC72FC" w14:textId="77777777" w:rsidR="00F9174B" w:rsidRDefault="00827744">
      <w:pPr>
        <w:tabs>
          <w:tab w:val="left" w:pos="567"/>
        </w:tabs>
        <w:snapToGrid w:val="0"/>
        <w:rPr>
          <w:rFonts w:ascii="Arial" w:hAnsi="Arial" w:cs="Arial"/>
          <w:bCs/>
          <w:u w:val="single"/>
        </w:rPr>
      </w:pPr>
      <w:r>
        <w:rPr>
          <w:rFonts w:ascii="Arial" w:hAnsi="Arial" w:cs="Arial"/>
          <w:bCs/>
          <w:u w:val="single"/>
        </w:rPr>
        <w:t>Submitted TDocs to AI 8.6.2</w:t>
      </w:r>
    </w:p>
    <w:p w14:paraId="2233EE5D" w14:textId="77777777" w:rsidR="00F9174B" w:rsidRDefault="00827744">
      <w:pPr>
        <w:pStyle w:val="Doc-title"/>
        <w:numPr>
          <w:ilvl w:val="0"/>
          <w:numId w:val="23"/>
        </w:numPr>
      </w:pPr>
      <w:r>
        <w:t>R2-2207060</w:t>
      </w:r>
      <w:r>
        <w:tab/>
        <w:t>Discussion on HARQ enhancement for IoT NTN</w:t>
      </w:r>
      <w:r>
        <w:tab/>
      </w:r>
      <w:r>
        <w:tab/>
      </w:r>
      <w:r>
        <w:tab/>
        <w:t>OPPO</w:t>
      </w:r>
      <w:r>
        <w:tab/>
      </w:r>
      <w:r>
        <w:tab/>
      </w:r>
    </w:p>
    <w:p w14:paraId="3D4C1DD5" w14:textId="77777777" w:rsidR="00F9174B" w:rsidRDefault="00827744">
      <w:pPr>
        <w:pStyle w:val="Doc-title"/>
        <w:numPr>
          <w:ilvl w:val="0"/>
          <w:numId w:val="23"/>
        </w:numPr>
      </w:pPr>
      <w:r>
        <w:t>R2-2207075</w:t>
      </w:r>
      <w:r>
        <w:tab/>
        <w:t>Discussion on GNSS operation in connected mode</w:t>
      </w:r>
      <w:r>
        <w:tab/>
      </w:r>
      <w:r>
        <w:tab/>
        <w:t>OPPO</w:t>
      </w:r>
      <w:r>
        <w:tab/>
        <w:t xml:space="preserve"> </w:t>
      </w:r>
    </w:p>
    <w:p w14:paraId="2C214920" w14:textId="77777777" w:rsidR="00F9174B" w:rsidRDefault="00827744">
      <w:pPr>
        <w:pStyle w:val="Doc-title"/>
        <w:numPr>
          <w:ilvl w:val="0"/>
          <w:numId w:val="23"/>
        </w:numPr>
      </w:pPr>
      <w:r>
        <w:t>R2-2207300</w:t>
      </w:r>
      <w:r>
        <w:tab/>
        <w:t>On Disabling HARQ Feedback in IoT-NTN</w:t>
      </w:r>
      <w:r>
        <w:tab/>
      </w:r>
      <w:r>
        <w:tab/>
      </w:r>
      <w:r>
        <w:tab/>
      </w:r>
      <w:r>
        <w:tab/>
        <w:t>MediaTek Inc.</w:t>
      </w:r>
      <w:r>
        <w:tab/>
      </w:r>
    </w:p>
    <w:p w14:paraId="13FF14D0" w14:textId="77777777" w:rsidR="00F9174B" w:rsidRDefault="00827744">
      <w:pPr>
        <w:pStyle w:val="Doc-title"/>
        <w:numPr>
          <w:ilvl w:val="0"/>
          <w:numId w:val="23"/>
        </w:numPr>
      </w:pPr>
      <w:r>
        <w:t>R2-2207354</w:t>
      </w:r>
      <w:r>
        <w:tab/>
        <w:t>HARQ process enhancements</w:t>
      </w:r>
      <w:r>
        <w:tab/>
      </w:r>
      <w:r>
        <w:tab/>
      </w:r>
      <w:r>
        <w:tab/>
      </w:r>
      <w:r>
        <w:tab/>
      </w:r>
      <w:r>
        <w:tab/>
      </w:r>
      <w:r>
        <w:tab/>
        <w:t>Qualcomm Incorporated</w:t>
      </w:r>
    </w:p>
    <w:p w14:paraId="3BCE2E47" w14:textId="77777777" w:rsidR="00F9174B" w:rsidRDefault="00827744">
      <w:pPr>
        <w:pStyle w:val="Doc-title"/>
        <w:numPr>
          <w:ilvl w:val="0"/>
          <w:numId w:val="23"/>
        </w:numPr>
      </w:pPr>
      <w:r>
        <w:t>R2-2207484</w:t>
      </w:r>
      <w:r>
        <w:tab/>
        <w:t>Discussion on HARQ feedback disabling</w:t>
      </w:r>
      <w:r>
        <w:tab/>
      </w:r>
      <w:r>
        <w:tab/>
      </w:r>
      <w:r>
        <w:tab/>
      </w:r>
      <w:r>
        <w:tab/>
        <w:t>Huawei, HiSilicon</w:t>
      </w:r>
      <w:r>
        <w:tab/>
      </w:r>
    </w:p>
    <w:p w14:paraId="6FD234E7" w14:textId="77777777" w:rsidR="00F9174B" w:rsidRDefault="00827744">
      <w:pPr>
        <w:pStyle w:val="Doc-title"/>
        <w:numPr>
          <w:ilvl w:val="0"/>
          <w:numId w:val="23"/>
        </w:numPr>
      </w:pPr>
      <w:r>
        <w:t>R2-2207647</w:t>
      </w:r>
      <w:r>
        <w:tab/>
        <w:t>Discussion on performance enhancement for IoT NTN</w:t>
      </w:r>
      <w:r>
        <w:tab/>
      </w:r>
      <w:r>
        <w:tab/>
        <w:t>Transsion Holdings</w:t>
      </w:r>
      <w:r>
        <w:tab/>
      </w:r>
    </w:p>
    <w:p w14:paraId="6E447D53" w14:textId="77777777" w:rsidR="00F9174B" w:rsidRDefault="00827744">
      <w:pPr>
        <w:pStyle w:val="Doc-title"/>
        <w:numPr>
          <w:ilvl w:val="0"/>
          <w:numId w:val="23"/>
        </w:numPr>
      </w:pPr>
      <w:r>
        <w:t>R2-2207710</w:t>
      </w:r>
      <w:r>
        <w:tab/>
        <w:t>Considerations on reducing UE GNSS operations in long connection time</w:t>
      </w:r>
      <w:r>
        <w:tab/>
        <w:t>Lenovo</w:t>
      </w:r>
      <w:r>
        <w:tab/>
      </w:r>
    </w:p>
    <w:p w14:paraId="5488B949" w14:textId="77777777" w:rsidR="00F9174B" w:rsidRDefault="00827744">
      <w:pPr>
        <w:pStyle w:val="Doc-title"/>
        <w:numPr>
          <w:ilvl w:val="0"/>
          <w:numId w:val="23"/>
        </w:numPr>
      </w:pPr>
      <w:r>
        <w:t>R2-2207841</w:t>
      </w:r>
      <w:r>
        <w:tab/>
        <w:t>Consideration on HARQ and GNSS enhancements</w:t>
      </w:r>
      <w:r>
        <w:tab/>
      </w:r>
      <w:r>
        <w:tab/>
        <w:t>ZTE Corporation, Sanechips</w:t>
      </w:r>
    </w:p>
    <w:p w14:paraId="1C390129" w14:textId="77777777" w:rsidR="00F9174B" w:rsidRDefault="00827744">
      <w:pPr>
        <w:pStyle w:val="Doc-title"/>
        <w:numPr>
          <w:ilvl w:val="0"/>
          <w:numId w:val="23"/>
        </w:numPr>
      </w:pPr>
      <w:r>
        <w:t>R2-2208187</w:t>
      </w:r>
      <w:r>
        <w:tab/>
        <w:t>Disabling HARQ feedback for IoT-NTN</w:t>
      </w:r>
      <w:r>
        <w:tab/>
      </w:r>
      <w:r>
        <w:tab/>
      </w:r>
      <w:r>
        <w:tab/>
      </w:r>
      <w:r>
        <w:tab/>
        <w:t>Interdigital, Inc.</w:t>
      </w:r>
      <w:r>
        <w:tab/>
      </w:r>
    </w:p>
    <w:p w14:paraId="51EE3AFD" w14:textId="77777777" w:rsidR="00F9174B" w:rsidRDefault="00827744">
      <w:pPr>
        <w:pStyle w:val="Doc-title"/>
        <w:numPr>
          <w:ilvl w:val="0"/>
          <w:numId w:val="23"/>
        </w:numPr>
      </w:pPr>
      <w:r>
        <w:t>R2-2208388</w:t>
      </w:r>
      <w:r>
        <w:tab/>
        <w:t>Discussion on the HARQ disabling in IoT NTN</w:t>
      </w:r>
      <w:r>
        <w:tab/>
      </w:r>
      <w:r>
        <w:tab/>
      </w:r>
      <w:r>
        <w:tab/>
        <w:t>CATT</w:t>
      </w:r>
      <w:r>
        <w:tab/>
      </w:r>
      <w:r>
        <w:tab/>
      </w:r>
    </w:p>
    <w:p w14:paraId="3B59E57C" w14:textId="77777777" w:rsidR="00F9174B" w:rsidRDefault="00827744">
      <w:pPr>
        <w:pStyle w:val="Doc-title"/>
        <w:numPr>
          <w:ilvl w:val="0"/>
          <w:numId w:val="23"/>
        </w:numPr>
      </w:pPr>
      <w:r>
        <w:t>R2-2208448</w:t>
      </w:r>
      <w:r>
        <w:tab/>
        <w:t>Discussion on the performance enhancement for IoT-NTN</w:t>
      </w:r>
      <w:r>
        <w:tab/>
        <w:t>CMCC</w:t>
      </w:r>
      <w:r>
        <w:tab/>
      </w:r>
      <w:r>
        <w:tab/>
      </w:r>
    </w:p>
    <w:p w14:paraId="02C59D44" w14:textId="77777777" w:rsidR="00F9174B" w:rsidRDefault="00827744">
      <w:pPr>
        <w:pStyle w:val="Doc-title"/>
        <w:numPr>
          <w:ilvl w:val="0"/>
          <w:numId w:val="23"/>
        </w:numPr>
      </w:pPr>
      <w:r>
        <w:t>R2-2208565</w:t>
      </w:r>
      <w:r>
        <w:tab/>
        <w:t>Discussion on HARQ feedback disabling for IoT NTN</w:t>
      </w:r>
      <w:r>
        <w:tab/>
      </w:r>
      <w:r>
        <w:tab/>
        <w:t>Nokia, Nokia Shanghai Bell</w:t>
      </w:r>
    </w:p>
    <w:p w14:paraId="722EFDA9" w14:textId="77777777" w:rsidR="00F9174B" w:rsidRDefault="00827744">
      <w:pPr>
        <w:pStyle w:val="Doc-title"/>
        <w:numPr>
          <w:ilvl w:val="0"/>
          <w:numId w:val="23"/>
        </w:numPr>
      </w:pPr>
      <w:r>
        <w:t>R2-2208585</w:t>
      </w:r>
      <w:r>
        <w:tab/>
        <w:t>Discussion on disabling of HARQ feedback</w:t>
      </w:r>
      <w:r>
        <w:tab/>
      </w:r>
      <w:r>
        <w:tab/>
      </w:r>
      <w:r>
        <w:tab/>
      </w:r>
      <w:r>
        <w:tab/>
        <w:t>Xiaomi</w:t>
      </w:r>
      <w:r>
        <w:tab/>
      </w:r>
      <w:r>
        <w:tab/>
      </w:r>
    </w:p>
    <w:p w14:paraId="0FC632F0" w14:textId="77777777" w:rsidR="00F9174B" w:rsidRDefault="00F9174B">
      <w:pPr>
        <w:tabs>
          <w:tab w:val="left" w:pos="567"/>
        </w:tabs>
        <w:snapToGrid w:val="0"/>
        <w:rPr>
          <w:rFonts w:ascii="Arial" w:hAnsi="Arial" w:cs="Arial"/>
          <w:bCs/>
          <w:u w:val="single"/>
        </w:rPr>
      </w:pPr>
    </w:p>
    <w:p w14:paraId="419CD304" w14:textId="77777777" w:rsidR="00F9174B" w:rsidRDefault="00827744">
      <w:pPr>
        <w:tabs>
          <w:tab w:val="left" w:pos="567"/>
        </w:tabs>
        <w:snapToGrid w:val="0"/>
        <w:rPr>
          <w:rFonts w:ascii="Arial" w:hAnsi="Arial" w:cs="Arial"/>
          <w:bCs/>
          <w:u w:val="single"/>
        </w:rPr>
      </w:pPr>
      <w:r>
        <w:rPr>
          <w:rFonts w:ascii="Arial" w:hAnsi="Arial" w:cs="Arial"/>
          <w:bCs/>
          <w:u w:val="single"/>
        </w:rPr>
        <w:t>Submitted TDocs to AI 8.6.3</w:t>
      </w:r>
    </w:p>
    <w:p w14:paraId="38581247" w14:textId="77777777" w:rsidR="00F9174B" w:rsidRDefault="00827744">
      <w:pPr>
        <w:pStyle w:val="Doc-title"/>
        <w:numPr>
          <w:ilvl w:val="0"/>
          <w:numId w:val="24"/>
        </w:numPr>
      </w:pPr>
      <w:r>
        <w:t>R2-2207061</w:t>
      </w:r>
      <w:r>
        <w:tab/>
        <w:t>Discussion on mobility enhancement for IoT NTN</w:t>
      </w:r>
      <w:r>
        <w:tab/>
      </w:r>
      <w:r>
        <w:tab/>
      </w:r>
      <w:r>
        <w:tab/>
        <w:t>OPPO</w:t>
      </w:r>
      <w:r>
        <w:tab/>
      </w:r>
    </w:p>
    <w:p w14:paraId="25C1EEC2" w14:textId="77777777" w:rsidR="00F9174B" w:rsidRDefault="00827744">
      <w:pPr>
        <w:pStyle w:val="Doc-title"/>
        <w:numPr>
          <w:ilvl w:val="0"/>
          <w:numId w:val="24"/>
        </w:numPr>
      </w:pPr>
      <w:r>
        <w:t>R2-2207275</w:t>
      </w:r>
      <w:r>
        <w:tab/>
        <w:t>Discussion on neighbour cell measurements in IoT NTN</w:t>
      </w:r>
      <w:r>
        <w:tab/>
      </w:r>
      <w:r>
        <w:tab/>
        <w:t>Intel Corporation</w:t>
      </w:r>
      <w:r>
        <w:tab/>
      </w:r>
    </w:p>
    <w:p w14:paraId="1BF14E76" w14:textId="77777777" w:rsidR="00F9174B" w:rsidRDefault="00827744">
      <w:pPr>
        <w:pStyle w:val="Doc-title"/>
        <w:numPr>
          <w:ilvl w:val="0"/>
          <w:numId w:val="24"/>
        </w:numPr>
      </w:pPr>
      <w:r>
        <w:t>R2-2207299</w:t>
      </w:r>
      <w:r>
        <w:tab/>
        <w:t>On Mobility Enhancements in IoT-NTN</w:t>
      </w:r>
      <w:r>
        <w:tab/>
      </w:r>
      <w:r>
        <w:tab/>
      </w:r>
      <w:r>
        <w:tab/>
      </w:r>
      <w:r>
        <w:tab/>
        <w:t>MediaTek Inc.</w:t>
      </w:r>
      <w:r>
        <w:tab/>
      </w:r>
    </w:p>
    <w:p w14:paraId="135BD15F" w14:textId="77777777" w:rsidR="00F9174B" w:rsidRDefault="00827744">
      <w:pPr>
        <w:pStyle w:val="Doc-title"/>
        <w:numPr>
          <w:ilvl w:val="0"/>
          <w:numId w:val="24"/>
        </w:numPr>
      </w:pPr>
      <w:r>
        <w:t>R2-2207355</w:t>
      </w:r>
      <w:r>
        <w:tab/>
        <w:t>Connected mode mobility enhancements</w:t>
      </w:r>
      <w:r>
        <w:tab/>
      </w:r>
      <w:r>
        <w:tab/>
      </w:r>
      <w:r>
        <w:tab/>
      </w:r>
      <w:r>
        <w:tab/>
        <w:t>Qualcomm Incorporated</w:t>
      </w:r>
      <w:r>
        <w:tab/>
      </w:r>
    </w:p>
    <w:p w14:paraId="447BEE72" w14:textId="77777777" w:rsidR="00F9174B" w:rsidRDefault="00827744">
      <w:pPr>
        <w:pStyle w:val="Doc-title"/>
        <w:numPr>
          <w:ilvl w:val="0"/>
          <w:numId w:val="24"/>
        </w:numPr>
      </w:pPr>
      <w:r>
        <w:lastRenderedPageBreak/>
        <w:t>R2-2207500</w:t>
      </w:r>
      <w:r>
        <w:tab/>
        <w:t>Discussion on mobility enhancements for IoT NTN</w:t>
      </w:r>
      <w:r>
        <w:tab/>
      </w:r>
      <w:r>
        <w:tab/>
        <w:t>Huawei, HiSilicon</w:t>
      </w:r>
      <w:r>
        <w:tab/>
      </w:r>
    </w:p>
    <w:p w14:paraId="61776973" w14:textId="77777777" w:rsidR="00F9174B" w:rsidRDefault="00827744">
      <w:pPr>
        <w:pStyle w:val="Doc-title"/>
        <w:numPr>
          <w:ilvl w:val="0"/>
          <w:numId w:val="24"/>
        </w:numPr>
      </w:pPr>
      <w:r>
        <w:t>R2-2207648</w:t>
      </w:r>
      <w:r>
        <w:tab/>
        <w:t>Discussion on mobility enhancement for IoT NTN</w:t>
      </w:r>
      <w:r>
        <w:tab/>
      </w:r>
      <w:r>
        <w:tab/>
      </w:r>
      <w:r>
        <w:tab/>
        <w:t>Transsion Holdings</w:t>
      </w:r>
      <w:r>
        <w:tab/>
      </w:r>
    </w:p>
    <w:p w14:paraId="3D15390B" w14:textId="77777777" w:rsidR="00F9174B" w:rsidRDefault="00827744">
      <w:pPr>
        <w:pStyle w:val="Doc-title"/>
        <w:numPr>
          <w:ilvl w:val="0"/>
          <w:numId w:val="24"/>
        </w:numPr>
      </w:pPr>
      <w:r>
        <w:t>R2-2207682</w:t>
      </w:r>
      <w:r>
        <w:tab/>
        <w:t>Discussion on triggering neighbour cell measurement before RLF</w:t>
      </w:r>
      <w:r>
        <w:tab/>
        <w:t>Spreadtrum Communications</w:t>
      </w:r>
    </w:p>
    <w:p w14:paraId="723A33C9" w14:textId="77777777" w:rsidR="00F9174B" w:rsidRDefault="00827744">
      <w:pPr>
        <w:pStyle w:val="Doc-title"/>
        <w:numPr>
          <w:ilvl w:val="0"/>
          <w:numId w:val="24"/>
        </w:numPr>
      </w:pPr>
      <w:r>
        <w:t>R2-2207711</w:t>
      </w:r>
      <w:r>
        <w:tab/>
        <w:t>Considerations on neighbour cell measurement for NB-IoT in NTN scenario</w:t>
      </w:r>
      <w:r>
        <w:tab/>
      </w:r>
      <w:r>
        <w:tab/>
        <w:t>Lenovo</w:t>
      </w:r>
    </w:p>
    <w:p w14:paraId="3DE1893A" w14:textId="77777777" w:rsidR="00F9174B" w:rsidRDefault="00827744">
      <w:pPr>
        <w:pStyle w:val="Doc-title"/>
        <w:numPr>
          <w:ilvl w:val="0"/>
          <w:numId w:val="24"/>
        </w:numPr>
      </w:pPr>
      <w:r>
        <w:t>R2-2207842</w:t>
      </w:r>
      <w:r>
        <w:tab/>
        <w:t>Consideration on mobility enhancements</w:t>
      </w:r>
      <w:r>
        <w:tab/>
      </w:r>
      <w:r>
        <w:tab/>
      </w:r>
      <w:r>
        <w:tab/>
      </w:r>
      <w:r>
        <w:tab/>
        <w:t>ZTE Corporation, Sanechips</w:t>
      </w:r>
    </w:p>
    <w:p w14:paraId="105A3C6E" w14:textId="77777777" w:rsidR="00F9174B" w:rsidRDefault="00827744">
      <w:pPr>
        <w:pStyle w:val="Doc-title"/>
        <w:numPr>
          <w:ilvl w:val="0"/>
          <w:numId w:val="24"/>
        </w:numPr>
      </w:pPr>
      <w:r>
        <w:t>R2-2207913</w:t>
      </w:r>
      <w:r>
        <w:tab/>
        <w:t>Discussion on mobility enhancements to IoT NTN</w:t>
      </w:r>
      <w:r>
        <w:tab/>
      </w:r>
      <w:r>
        <w:tab/>
      </w:r>
      <w:r>
        <w:tab/>
        <w:t>Xiaomi</w:t>
      </w:r>
      <w:r>
        <w:tab/>
      </w:r>
    </w:p>
    <w:p w14:paraId="70CD10F0" w14:textId="77777777" w:rsidR="00F9174B" w:rsidRDefault="00827744">
      <w:pPr>
        <w:pStyle w:val="Doc-title"/>
        <w:numPr>
          <w:ilvl w:val="0"/>
          <w:numId w:val="24"/>
        </w:numPr>
      </w:pPr>
      <w:r>
        <w:t>R2-2207931</w:t>
      </w:r>
      <w:r>
        <w:tab/>
        <w:t xml:space="preserve">Mobility Enhancement for IoT NTN </w:t>
      </w:r>
      <w:r>
        <w:tab/>
      </w:r>
      <w:r>
        <w:tab/>
      </w:r>
      <w:r>
        <w:tab/>
      </w:r>
      <w:r>
        <w:tab/>
      </w:r>
      <w:r>
        <w:tab/>
        <w:t>Samsung R&amp;D Institute UK</w:t>
      </w:r>
    </w:p>
    <w:p w14:paraId="060FC43F" w14:textId="77777777" w:rsidR="00F9174B" w:rsidRDefault="00827744">
      <w:pPr>
        <w:pStyle w:val="Doc-title"/>
        <w:numPr>
          <w:ilvl w:val="0"/>
          <w:numId w:val="24"/>
        </w:numPr>
      </w:pPr>
      <w:r>
        <w:t>R2-2207939</w:t>
      </w:r>
      <w:r>
        <w:tab/>
        <w:t>Neighbour cell measurements before RLF</w:t>
      </w:r>
      <w:r>
        <w:tab/>
        <w:t>Apple</w:t>
      </w:r>
      <w:r>
        <w:tab/>
      </w:r>
      <w:r>
        <w:tab/>
      </w:r>
      <w:r>
        <w:tab/>
        <w:t>IoT_NTN_enh</w:t>
      </w:r>
    </w:p>
    <w:p w14:paraId="25E85E82" w14:textId="77777777" w:rsidR="00F9174B" w:rsidRDefault="00827744">
      <w:pPr>
        <w:pStyle w:val="Doc-title"/>
        <w:numPr>
          <w:ilvl w:val="0"/>
          <w:numId w:val="24"/>
        </w:numPr>
      </w:pPr>
      <w:r>
        <w:t>R2-2208037</w:t>
      </w:r>
      <w:r>
        <w:tab/>
        <w:t>Changes to current mobility enhancement procedures for IoT-NTN</w:t>
      </w:r>
      <w:r>
        <w:tab/>
        <w:t>Nokia, Nokia Shanghai Bel</w:t>
      </w:r>
    </w:p>
    <w:p w14:paraId="5E7E6EDA" w14:textId="77777777" w:rsidR="00F9174B" w:rsidRDefault="00827744">
      <w:pPr>
        <w:pStyle w:val="Doc-title"/>
        <w:numPr>
          <w:ilvl w:val="0"/>
          <w:numId w:val="24"/>
        </w:numPr>
      </w:pPr>
      <w:r>
        <w:t>R2-2208146</w:t>
      </w:r>
      <w:r>
        <w:tab/>
        <w:t>Discussion on Mobility Enhancements</w:t>
      </w:r>
      <w:r>
        <w:tab/>
      </w:r>
      <w:r>
        <w:tab/>
      </w:r>
      <w:r>
        <w:tab/>
      </w:r>
      <w:r>
        <w:tab/>
        <w:t>TURKCELL</w:t>
      </w:r>
      <w:r>
        <w:tab/>
      </w:r>
    </w:p>
    <w:p w14:paraId="336F81EE" w14:textId="77777777" w:rsidR="00F9174B" w:rsidRDefault="00827744">
      <w:pPr>
        <w:pStyle w:val="Doc-title"/>
        <w:numPr>
          <w:ilvl w:val="0"/>
          <w:numId w:val="24"/>
        </w:numPr>
      </w:pPr>
      <w:r>
        <w:t>R2-2208188</w:t>
      </w:r>
      <w:r>
        <w:tab/>
        <w:t>IoT-NTN mobility enhancements</w:t>
      </w:r>
      <w:r>
        <w:tab/>
        <w:t>Interdigital, Inc.</w:t>
      </w:r>
      <w:r>
        <w:tab/>
      </w:r>
    </w:p>
    <w:p w14:paraId="57D84E0B" w14:textId="77777777" w:rsidR="00F9174B" w:rsidRDefault="00827744">
      <w:pPr>
        <w:pStyle w:val="Doc-title"/>
        <w:numPr>
          <w:ilvl w:val="0"/>
          <w:numId w:val="24"/>
        </w:numPr>
      </w:pPr>
      <w:r>
        <w:t>R2-2208389</w:t>
      </w:r>
      <w:r>
        <w:tab/>
        <w:t>Discussion on the mobility enhancements in eMTC</w:t>
      </w:r>
      <w:r>
        <w:tab/>
      </w:r>
      <w:r>
        <w:tab/>
        <w:t>CATT</w:t>
      </w:r>
      <w:r>
        <w:tab/>
      </w:r>
    </w:p>
    <w:p w14:paraId="2036D9E2" w14:textId="77777777" w:rsidR="00F9174B" w:rsidRDefault="00827744">
      <w:pPr>
        <w:pStyle w:val="Doc-title"/>
        <w:numPr>
          <w:ilvl w:val="0"/>
          <w:numId w:val="24"/>
        </w:numPr>
      </w:pPr>
      <w:r>
        <w:t>R2-2208449</w:t>
      </w:r>
      <w:r>
        <w:tab/>
        <w:t>Discussion on the mobility enhancement for IoT-NTN</w:t>
      </w:r>
      <w:r>
        <w:tab/>
      </w:r>
      <w:r>
        <w:tab/>
        <w:t>CMCC</w:t>
      </w:r>
      <w:r>
        <w:tab/>
      </w:r>
    </w:p>
    <w:p w14:paraId="73517D6D" w14:textId="77777777" w:rsidR="00F9174B" w:rsidRDefault="00827744">
      <w:pPr>
        <w:pStyle w:val="Doc-title"/>
        <w:numPr>
          <w:ilvl w:val="0"/>
          <w:numId w:val="24"/>
        </w:numPr>
      </w:pPr>
      <w:r>
        <w:t>R2-2208518</w:t>
      </w:r>
      <w:r>
        <w:tab/>
        <w:t xml:space="preserve">Use of Elevation Angle Threshold for IoT NTN Neighbour Cell Measurements </w:t>
      </w:r>
      <w:r>
        <w:tab/>
        <w:t>SHARP Corporation</w:t>
      </w:r>
      <w:r>
        <w:tab/>
      </w:r>
    </w:p>
    <w:p w14:paraId="1845C5FF" w14:textId="77777777" w:rsidR="00F9174B" w:rsidRDefault="00827744">
      <w:pPr>
        <w:pStyle w:val="Doc-title"/>
        <w:numPr>
          <w:ilvl w:val="0"/>
          <w:numId w:val="24"/>
        </w:numPr>
        <w:rPr>
          <w:rFonts w:cs="Arial"/>
          <w:bCs/>
          <w:u w:val="single"/>
        </w:rPr>
      </w:pPr>
      <w:r>
        <w:t>R2-2208673</w:t>
      </w:r>
      <w:r>
        <w:tab/>
        <w:t>R18 IoT NTN Mobility enhancements</w:t>
      </w:r>
      <w:r>
        <w:tab/>
      </w:r>
      <w:r>
        <w:tab/>
      </w:r>
      <w:r>
        <w:tab/>
      </w:r>
      <w:r>
        <w:tab/>
        <w:t>Ericsson</w:t>
      </w:r>
      <w:r>
        <w:tab/>
      </w:r>
    </w:p>
    <w:p w14:paraId="47C983CE" w14:textId="77777777" w:rsidR="00F9174B" w:rsidRDefault="00F9174B">
      <w:pPr>
        <w:tabs>
          <w:tab w:val="left" w:pos="567"/>
        </w:tabs>
        <w:snapToGrid w:val="0"/>
        <w:rPr>
          <w:rFonts w:ascii="Arial" w:hAnsi="Arial" w:cs="Arial"/>
          <w:bCs/>
          <w:u w:val="single"/>
        </w:rPr>
      </w:pPr>
    </w:p>
    <w:p w14:paraId="18D24A35" w14:textId="77777777" w:rsidR="00F9174B" w:rsidRDefault="00827744">
      <w:pPr>
        <w:tabs>
          <w:tab w:val="left" w:pos="567"/>
        </w:tabs>
        <w:snapToGrid w:val="0"/>
        <w:rPr>
          <w:rFonts w:ascii="Arial" w:hAnsi="Arial" w:cs="Arial"/>
          <w:bCs/>
        </w:rPr>
      </w:pPr>
      <w:r>
        <w:rPr>
          <w:rFonts w:ascii="Arial" w:hAnsi="Arial" w:cs="Arial"/>
          <w:bCs/>
          <w:u w:val="single"/>
        </w:rPr>
        <w:t>Submitted TDocs to AI 8.6.4</w:t>
      </w:r>
    </w:p>
    <w:p w14:paraId="56759AF6" w14:textId="77777777" w:rsidR="00F9174B" w:rsidRDefault="00827744">
      <w:pPr>
        <w:pStyle w:val="Doc-title"/>
        <w:numPr>
          <w:ilvl w:val="0"/>
          <w:numId w:val="25"/>
        </w:numPr>
      </w:pPr>
      <w:r>
        <w:t>R2-2207301</w:t>
      </w:r>
      <w:r>
        <w:tab/>
        <w:t>Enhancements to discontinuous coverage in IoT-NTN</w:t>
      </w:r>
      <w:r>
        <w:tab/>
      </w:r>
      <w:r>
        <w:tab/>
      </w:r>
      <w:r>
        <w:tab/>
        <w:t>MediaTek Inc.</w:t>
      </w:r>
      <w:r>
        <w:tab/>
      </w:r>
    </w:p>
    <w:p w14:paraId="78C6A2AF" w14:textId="77777777" w:rsidR="00F9174B" w:rsidRDefault="00827744">
      <w:pPr>
        <w:pStyle w:val="Doc-title"/>
        <w:numPr>
          <w:ilvl w:val="0"/>
          <w:numId w:val="25"/>
        </w:numPr>
      </w:pPr>
      <w:r>
        <w:t>R2-2207356</w:t>
      </w:r>
      <w:r>
        <w:tab/>
        <w:t>RRC release procedure in discontinuous coverage</w:t>
      </w:r>
      <w:r>
        <w:tab/>
      </w:r>
      <w:r>
        <w:tab/>
      </w:r>
      <w:r>
        <w:tab/>
        <w:t>Qualcomm Incorporated</w:t>
      </w:r>
      <w:r>
        <w:tab/>
      </w:r>
    </w:p>
    <w:p w14:paraId="775C132D" w14:textId="77777777" w:rsidR="00F9174B" w:rsidRDefault="00827744">
      <w:pPr>
        <w:pStyle w:val="Doc-title"/>
        <w:numPr>
          <w:ilvl w:val="0"/>
          <w:numId w:val="25"/>
        </w:numPr>
      </w:pPr>
      <w:r>
        <w:t>R2-2207483</w:t>
      </w:r>
      <w:r>
        <w:tab/>
        <w:t>Discussion on the discontinuous coverage</w:t>
      </w:r>
      <w:r>
        <w:tab/>
      </w:r>
      <w:r>
        <w:tab/>
      </w:r>
      <w:r>
        <w:tab/>
      </w:r>
      <w:r>
        <w:tab/>
      </w:r>
      <w:r>
        <w:tab/>
        <w:t>Huawei, HiSilicon</w:t>
      </w:r>
      <w:r>
        <w:tab/>
      </w:r>
    </w:p>
    <w:p w14:paraId="22588C14" w14:textId="77777777" w:rsidR="00F9174B" w:rsidRDefault="00827744">
      <w:pPr>
        <w:pStyle w:val="Doc-title"/>
        <w:numPr>
          <w:ilvl w:val="0"/>
          <w:numId w:val="25"/>
        </w:numPr>
      </w:pPr>
      <w:r>
        <w:t>R2-2207649</w:t>
      </w:r>
      <w:r>
        <w:tab/>
        <w:t>Discussion on enhancement to discontinuous coverage for IoT NTN</w:t>
      </w:r>
      <w:r>
        <w:tab/>
        <w:t>Transsion Holdings</w:t>
      </w:r>
    </w:p>
    <w:p w14:paraId="3A028FF1" w14:textId="77777777" w:rsidR="00F9174B" w:rsidRDefault="00827744">
      <w:pPr>
        <w:pStyle w:val="Doc-title"/>
        <w:numPr>
          <w:ilvl w:val="0"/>
          <w:numId w:val="25"/>
        </w:numPr>
      </w:pPr>
      <w:r>
        <w:t>R2-2207683</w:t>
      </w:r>
      <w:r>
        <w:tab/>
        <w:t>Discussion on power saving mechanism for supporting discontinuous coverage</w:t>
      </w:r>
      <w:r>
        <w:tab/>
        <w:t>Spreadtrum Communications</w:t>
      </w:r>
      <w:r>
        <w:tab/>
      </w:r>
    </w:p>
    <w:p w14:paraId="0F58DEA1" w14:textId="77777777" w:rsidR="00F9174B" w:rsidRDefault="00827744">
      <w:pPr>
        <w:pStyle w:val="Doc-title"/>
        <w:numPr>
          <w:ilvl w:val="0"/>
          <w:numId w:val="25"/>
        </w:numPr>
      </w:pPr>
      <w:r>
        <w:t>R2-2207712</w:t>
      </w:r>
      <w:r>
        <w:tab/>
        <w:t>Considerations on mobility management and power saving for discontinuous coverage</w:t>
      </w:r>
      <w:r>
        <w:tab/>
        <w:t>Lenovo</w:t>
      </w:r>
    </w:p>
    <w:p w14:paraId="5F61844D" w14:textId="77777777" w:rsidR="00F9174B" w:rsidRDefault="00827744">
      <w:pPr>
        <w:pStyle w:val="Doc-title"/>
        <w:numPr>
          <w:ilvl w:val="0"/>
          <w:numId w:val="25"/>
        </w:numPr>
      </w:pPr>
      <w:r>
        <w:t>R2-2207778</w:t>
      </w:r>
      <w:r>
        <w:tab/>
        <w:t>Power Saving Enhancement for Discontinuous Coverage</w:t>
      </w:r>
      <w:r>
        <w:tab/>
      </w:r>
      <w:r>
        <w:tab/>
        <w:t>Google Inc.</w:t>
      </w:r>
      <w:r>
        <w:tab/>
      </w:r>
    </w:p>
    <w:p w14:paraId="3B1D788E" w14:textId="77777777" w:rsidR="00F9174B" w:rsidRDefault="00827744">
      <w:pPr>
        <w:pStyle w:val="Doc-title"/>
        <w:numPr>
          <w:ilvl w:val="0"/>
          <w:numId w:val="25"/>
        </w:numPr>
      </w:pPr>
      <w:r>
        <w:t>R2-2207843</w:t>
      </w:r>
      <w:r>
        <w:tab/>
        <w:t>Consideration on discontinuous coverage enhancements</w:t>
      </w:r>
      <w:r>
        <w:tab/>
      </w:r>
      <w:r>
        <w:tab/>
        <w:t>ZTE Corporation, Sanechips</w:t>
      </w:r>
    </w:p>
    <w:p w14:paraId="74A6BFB7" w14:textId="77777777" w:rsidR="00F9174B" w:rsidRDefault="00827744">
      <w:pPr>
        <w:pStyle w:val="Doc-title"/>
        <w:numPr>
          <w:ilvl w:val="0"/>
          <w:numId w:val="25"/>
        </w:numPr>
      </w:pPr>
      <w:r>
        <w:t>R2-2207914</w:t>
      </w:r>
      <w:r>
        <w:tab/>
        <w:t>Discussion on enhancements to discontinuous coverage</w:t>
      </w:r>
      <w:r>
        <w:tab/>
      </w:r>
      <w:r>
        <w:tab/>
        <w:t>Xiaomi</w:t>
      </w:r>
      <w:r>
        <w:tab/>
      </w:r>
    </w:p>
    <w:p w14:paraId="3C15D168" w14:textId="77777777" w:rsidR="00F9174B" w:rsidRDefault="00827744">
      <w:pPr>
        <w:pStyle w:val="Doc-title"/>
        <w:numPr>
          <w:ilvl w:val="0"/>
          <w:numId w:val="25"/>
        </w:numPr>
      </w:pPr>
      <w:r>
        <w:t>R2-2208023</w:t>
      </w:r>
      <w:r>
        <w:tab/>
        <w:t>Enhancements to discontinuous coverage</w:t>
      </w:r>
      <w:r>
        <w:tab/>
      </w:r>
      <w:r>
        <w:tab/>
      </w:r>
      <w:r>
        <w:tab/>
      </w:r>
      <w:r>
        <w:tab/>
      </w:r>
      <w:r>
        <w:tab/>
        <w:t>Samsung R&amp;D Institute UK</w:t>
      </w:r>
    </w:p>
    <w:p w14:paraId="2C0F5B6C" w14:textId="77777777" w:rsidR="00F9174B" w:rsidRDefault="00827744">
      <w:pPr>
        <w:pStyle w:val="Doc-title"/>
        <w:numPr>
          <w:ilvl w:val="0"/>
          <w:numId w:val="25"/>
        </w:numPr>
      </w:pPr>
      <w:r>
        <w:t>R2-2208115</w:t>
      </w:r>
      <w:r>
        <w:tab/>
        <w:t>Power Saving Enhancement for Discontinuous Coverage</w:t>
      </w:r>
      <w:r>
        <w:tab/>
      </w:r>
      <w:r>
        <w:tab/>
        <w:t>Samsung R&amp;D Institute UK</w:t>
      </w:r>
    </w:p>
    <w:p w14:paraId="64331380" w14:textId="77777777" w:rsidR="00F9174B" w:rsidRDefault="00827744">
      <w:pPr>
        <w:pStyle w:val="Doc-title"/>
        <w:numPr>
          <w:ilvl w:val="0"/>
          <w:numId w:val="25"/>
        </w:numPr>
      </w:pPr>
      <w:r>
        <w:t>R2-2208189</w:t>
      </w:r>
      <w:r>
        <w:tab/>
        <w:t>IoT-NTN discontinuous coverage enhancements</w:t>
      </w:r>
      <w:r>
        <w:tab/>
      </w:r>
      <w:r>
        <w:tab/>
      </w:r>
      <w:r>
        <w:tab/>
      </w:r>
      <w:r>
        <w:tab/>
        <w:t>Interdigital, Inc.</w:t>
      </w:r>
      <w:r>
        <w:tab/>
      </w:r>
    </w:p>
    <w:p w14:paraId="16800A77" w14:textId="77777777" w:rsidR="00F9174B" w:rsidRDefault="00827744">
      <w:pPr>
        <w:pStyle w:val="Doc-title"/>
        <w:numPr>
          <w:ilvl w:val="0"/>
          <w:numId w:val="25"/>
        </w:numPr>
      </w:pPr>
      <w:r>
        <w:t>R2-2208450</w:t>
      </w:r>
      <w:r>
        <w:tab/>
        <w:t>Discussion on the discontinuous coverage for IoT-NTN</w:t>
      </w:r>
      <w:r>
        <w:tab/>
      </w:r>
      <w:r>
        <w:tab/>
      </w:r>
      <w:r>
        <w:tab/>
        <w:t>CMCC</w:t>
      </w:r>
      <w:r>
        <w:tab/>
      </w:r>
    </w:p>
    <w:p w14:paraId="491E3F76" w14:textId="77777777" w:rsidR="00F9174B" w:rsidRDefault="00827744">
      <w:pPr>
        <w:pStyle w:val="Doc-title"/>
        <w:numPr>
          <w:ilvl w:val="0"/>
          <w:numId w:val="25"/>
        </w:numPr>
      </w:pPr>
      <w:r>
        <w:t>R2-2208566</w:t>
      </w:r>
      <w:r>
        <w:tab/>
        <w:t>Discussion on Discontinuous Coverage for IoT NTN</w:t>
      </w:r>
      <w:r>
        <w:tab/>
      </w:r>
      <w:r>
        <w:tab/>
      </w:r>
      <w:r>
        <w:tab/>
        <w:t>Nokia, Nokia Shanghai Bell</w:t>
      </w:r>
    </w:p>
    <w:p w14:paraId="28756F9B" w14:textId="77777777" w:rsidR="00F9174B" w:rsidRDefault="00827744">
      <w:pPr>
        <w:pStyle w:val="Doc-title"/>
        <w:numPr>
          <w:ilvl w:val="0"/>
          <w:numId w:val="25"/>
        </w:numPr>
      </w:pPr>
      <w:r>
        <w:t>R2-2208663</w:t>
      </w:r>
      <w:r>
        <w:tab/>
        <w:t>Discussion on Enhancements related to discontinuous coverage</w:t>
      </w:r>
      <w:r>
        <w:tab/>
        <w:t>Rakuten Mobile, Inc</w:t>
      </w:r>
    </w:p>
    <w:p w14:paraId="3C4749B4" w14:textId="77777777" w:rsidR="00F9174B" w:rsidRDefault="00827744">
      <w:pPr>
        <w:pStyle w:val="Doc-title"/>
        <w:numPr>
          <w:ilvl w:val="0"/>
          <w:numId w:val="25"/>
        </w:numPr>
      </w:pPr>
      <w:r>
        <w:t>R2-2208672</w:t>
      </w:r>
      <w:r>
        <w:tab/>
        <w:t>R18 IoT NTN Enhancements to discontinuous coverage</w:t>
      </w:r>
      <w:r>
        <w:tab/>
      </w:r>
      <w:r>
        <w:tab/>
      </w:r>
      <w:r>
        <w:tab/>
        <w:t>Ericsson</w:t>
      </w:r>
      <w:r>
        <w:tab/>
      </w:r>
    </w:p>
    <w:p w14:paraId="15E3414E" w14:textId="77777777" w:rsidR="00F9174B" w:rsidRDefault="00F9174B">
      <w:pPr>
        <w:rPr>
          <w:lang w:eastAsia="ja-JP"/>
        </w:rPr>
      </w:pPr>
    </w:p>
    <w:p w14:paraId="4A4D08AE" w14:textId="77777777" w:rsidR="00F9174B" w:rsidRDefault="00F9174B">
      <w:pPr>
        <w:rPr>
          <w:lang w:eastAsia="ja-JP"/>
        </w:rPr>
      </w:pPr>
    </w:p>
    <w:p w14:paraId="0852CFA9" w14:textId="77777777" w:rsidR="00F9174B" w:rsidRDefault="00827744">
      <w:pPr>
        <w:pStyle w:val="Heading2"/>
        <w:rPr>
          <w:lang w:eastAsia="ja-JP"/>
        </w:rPr>
      </w:pPr>
      <w:r>
        <w:rPr>
          <w:lang w:eastAsia="ja-JP"/>
        </w:rPr>
        <w:t>4.3</w:t>
      </w:r>
      <w:r>
        <w:rPr>
          <w:lang w:eastAsia="ja-JP"/>
        </w:rPr>
        <w:tab/>
        <w:t>RAN3</w:t>
      </w:r>
    </w:p>
    <w:p w14:paraId="6BF52EB4" w14:textId="77777777" w:rsidR="00F9174B" w:rsidRPr="00DB2CB7" w:rsidRDefault="00827744">
      <w:pPr>
        <w:tabs>
          <w:tab w:val="left" w:pos="567"/>
        </w:tabs>
        <w:snapToGrid w:val="0"/>
        <w:rPr>
          <w:rFonts w:ascii="Arial" w:hAnsi="Arial" w:cs="Arial"/>
          <w:b/>
          <w:lang w:eastAsia="en-US"/>
        </w:rPr>
      </w:pPr>
      <w:r w:rsidRPr="00DB2CB7">
        <w:rPr>
          <w:rFonts w:ascii="Arial" w:hAnsi="Arial" w:cs="Arial"/>
          <w:b/>
          <w:lang w:eastAsia="en-US"/>
        </w:rPr>
        <w:t>RAN3#117-e, August 15th – 24th, 2022, e-meeting</w:t>
      </w:r>
    </w:p>
    <w:p w14:paraId="380DA4F4"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R3-224385</w:t>
      </w:r>
      <w:r w:rsidRPr="00DB2CB7">
        <w:rPr>
          <w:rFonts w:ascii="Arial" w:hAnsi="Arial" w:cs="Arial"/>
          <w:sz w:val="20"/>
          <w:szCs w:val="20"/>
        </w:rPr>
        <w:tab/>
        <w:t>Discussion on the support for discontinuous coverage</w:t>
      </w:r>
      <w:r w:rsidRPr="00DB2CB7">
        <w:rPr>
          <w:rFonts w:ascii="Arial" w:hAnsi="Arial" w:cs="Arial"/>
          <w:sz w:val="20"/>
          <w:szCs w:val="20"/>
        </w:rPr>
        <w:tab/>
        <w:t>Nokia, Nokia Shanghai Bell</w:t>
      </w:r>
    </w:p>
    <w:p w14:paraId="7E7DFE54"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R3-224386</w:t>
      </w:r>
      <w:r w:rsidRPr="00DB2CB7">
        <w:rPr>
          <w:rFonts w:ascii="Arial" w:hAnsi="Arial" w:cs="Arial"/>
          <w:sz w:val="20"/>
          <w:szCs w:val="20"/>
        </w:rPr>
        <w:tab/>
        <w:t>Support for IOT NTN enhancements</w:t>
      </w:r>
      <w:r w:rsidRPr="00DB2CB7">
        <w:rPr>
          <w:rFonts w:ascii="Arial" w:hAnsi="Arial" w:cs="Arial"/>
          <w:sz w:val="20"/>
          <w:szCs w:val="20"/>
        </w:rPr>
        <w:tab/>
        <w:t>Nokia, Nokia Shanghai Bell</w:t>
      </w:r>
    </w:p>
    <w:p w14:paraId="4292C69D"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R3-224575</w:t>
      </w:r>
      <w:r w:rsidRPr="00DB2CB7">
        <w:rPr>
          <w:rFonts w:ascii="Arial" w:hAnsi="Arial" w:cs="Arial"/>
          <w:sz w:val="20"/>
          <w:szCs w:val="20"/>
        </w:rPr>
        <w:tab/>
        <w:t>Support for Discontinuous Coverage in IoT NTN</w:t>
      </w:r>
      <w:r w:rsidRPr="00DB2CB7">
        <w:rPr>
          <w:rFonts w:ascii="Arial" w:hAnsi="Arial" w:cs="Arial"/>
          <w:sz w:val="20"/>
          <w:szCs w:val="20"/>
        </w:rPr>
        <w:tab/>
        <w:t xml:space="preserve">Ericsson </w:t>
      </w:r>
    </w:p>
    <w:p w14:paraId="13DA56AB"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R3-224591</w:t>
      </w:r>
      <w:r w:rsidRPr="00DB2CB7">
        <w:rPr>
          <w:rFonts w:ascii="Arial" w:hAnsi="Arial" w:cs="Arial"/>
          <w:sz w:val="20"/>
          <w:szCs w:val="20"/>
        </w:rPr>
        <w:tab/>
        <w:t>Discussion on power saving enhancements regarding discontinuous coverage</w:t>
      </w:r>
      <w:r w:rsidRPr="00DB2CB7">
        <w:rPr>
          <w:rFonts w:ascii="Arial" w:hAnsi="Arial" w:cs="Arial"/>
          <w:sz w:val="20"/>
          <w:szCs w:val="20"/>
        </w:rPr>
        <w:tab/>
        <w:t>Huawei</w:t>
      </w:r>
    </w:p>
    <w:p w14:paraId="3A3BAB99"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R3-224596</w:t>
      </w:r>
      <w:r w:rsidRPr="00DB2CB7">
        <w:rPr>
          <w:rFonts w:ascii="Arial" w:hAnsi="Arial" w:cs="Arial"/>
          <w:sz w:val="20"/>
          <w:szCs w:val="20"/>
        </w:rPr>
        <w:tab/>
        <w:t>Mobility management enhancements for discontinuous coverage</w:t>
      </w:r>
      <w:r w:rsidRPr="00DB2CB7">
        <w:rPr>
          <w:rFonts w:ascii="Arial" w:hAnsi="Arial" w:cs="Arial"/>
          <w:sz w:val="20"/>
          <w:szCs w:val="20"/>
        </w:rPr>
        <w:tab/>
        <w:t>Huawei</w:t>
      </w:r>
    </w:p>
    <w:p w14:paraId="1E32DF61"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R3-224643</w:t>
      </w:r>
      <w:r w:rsidRPr="00DB2CB7">
        <w:rPr>
          <w:rFonts w:ascii="Arial" w:hAnsi="Arial" w:cs="Arial"/>
          <w:sz w:val="20"/>
          <w:szCs w:val="20"/>
        </w:rPr>
        <w:tab/>
        <w:t>Discussion on Discontinuous Coverage</w:t>
      </w:r>
      <w:r w:rsidRPr="00DB2CB7">
        <w:rPr>
          <w:rFonts w:ascii="Arial" w:hAnsi="Arial" w:cs="Arial"/>
          <w:sz w:val="20"/>
          <w:szCs w:val="20"/>
        </w:rPr>
        <w:tab/>
        <w:t>CATT</w:t>
      </w:r>
    </w:p>
    <w:p w14:paraId="20B05B11"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R3-224708</w:t>
      </w:r>
      <w:r w:rsidRPr="00DB2CB7">
        <w:rPr>
          <w:rFonts w:ascii="Arial" w:hAnsi="Arial" w:cs="Arial"/>
          <w:sz w:val="20"/>
          <w:szCs w:val="20"/>
        </w:rPr>
        <w:tab/>
        <w:t>Initial consideration on mobility management enhancements for discontinuous coverage</w:t>
      </w:r>
      <w:r w:rsidRPr="00DB2CB7">
        <w:rPr>
          <w:rFonts w:ascii="Arial" w:hAnsi="Arial" w:cs="Arial"/>
          <w:sz w:val="20"/>
          <w:szCs w:val="20"/>
        </w:rPr>
        <w:tab/>
        <w:t>ZTE</w:t>
      </w:r>
    </w:p>
    <w:p w14:paraId="28A251F3"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t>R3-224709</w:t>
      </w:r>
      <w:r w:rsidRPr="00DB2CB7">
        <w:rPr>
          <w:rFonts w:ascii="Arial" w:hAnsi="Arial" w:cs="Arial"/>
          <w:sz w:val="20"/>
          <w:szCs w:val="20"/>
        </w:rPr>
        <w:tab/>
        <w:t>Initial consideration on power saving enhancements for discontinuous coverage</w:t>
      </w:r>
      <w:r w:rsidRPr="00DB2CB7">
        <w:rPr>
          <w:rFonts w:ascii="Arial" w:hAnsi="Arial" w:cs="Arial"/>
          <w:sz w:val="20"/>
          <w:szCs w:val="20"/>
        </w:rPr>
        <w:tab/>
        <w:t>ZTE</w:t>
      </w:r>
    </w:p>
    <w:p w14:paraId="762EA8A6" w14:textId="77777777" w:rsidR="00F9174B" w:rsidRPr="00DB2CB7" w:rsidRDefault="00827744">
      <w:pPr>
        <w:pStyle w:val="ListParagraph"/>
        <w:numPr>
          <w:ilvl w:val="0"/>
          <w:numId w:val="26"/>
        </w:numPr>
        <w:tabs>
          <w:tab w:val="left" w:pos="567"/>
        </w:tabs>
        <w:snapToGrid w:val="0"/>
        <w:ind w:leftChars="0"/>
        <w:rPr>
          <w:rFonts w:ascii="Arial" w:hAnsi="Arial" w:cs="Arial"/>
          <w:sz w:val="20"/>
          <w:szCs w:val="20"/>
        </w:rPr>
      </w:pPr>
      <w:r w:rsidRPr="00DB2CB7">
        <w:rPr>
          <w:rFonts w:ascii="Arial" w:hAnsi="Arial" w:cs="Arial"/>
          <w:sz w:val="20"/>
          <w:szCs w:val="20"/>
        </w:rPr>
        <w:lastRenderedPageBreak/>
        <w:t>R3-225025</w:t>
      </w:r>
      <w:r w:rsidRPr="00DB2CB7">
        <w:rPr>
          <w:rFonts w:ascii="Arial" w:hAnsi="Arial" w:cs="Arial"/>
          <w:sz w:val="20"/>
          <w:szCs w:val="20"/>
        </w:rPr>
        <w:tab/>
        <w:t>CB: # IoTNTN_Coverage - Summary of email discussion</w:t>
      </w:r>
      <w:r w:rsidRPr="00DB2CB7">
        <w:rPr>
          <w:rFonts w:ascii="Arial" w:hAnsi="Arial" w:cs="Arial"/>
          <w:sz w:val="20"/>
          <w:szCs w:val="20"/>
        </w:rPr>
        <w:tab/>
        <w:t>ZTE - moderator</w:t>
      </w:r>
    </w:p>
    <w:p w14:paraId="7708CC2E" w14:textId="77777777" w:rsidR="00F9174B" w:rsidRDefault="00F9174B">
      <w:pPr>
        <w:rPr>
          <w:lang w:eastAsia="ja-JP"/>
        </w:rPr>
      </w:pPr>
    </w:p>
    <w:p w14:paraId="278E05DC" w14:textId="77777777" w:rsidR="00F9174B" w:rsidRDefault="00827744">
      <w:pPr>
        <w:pStyle w:val="Heading1"/>
        <w:rPr>
          <w:lang w:eastAsia="ja-JP"/>
        </w:rPr>
      </w:pPr>
      <w:r>
        <w:rPr>
          <w:lang w:eastAsia="ja-JP"/>
        </w:rPr>
        <w:t>5</w:t>
      </w:r>
      <w:r>
        <w:rPr>
          <w:lang w:eastAsia="ja-JP"/>
        </w:rPr>
        <w:tab/>
        <w:t>Others</w:t>
      </w:r>
    </w:p>
    <w:p w14:paraId="0E839A39" w14:textId="77777777" w:rsidR="00F9174B" w:rsidRDefault="00F9174B">
      <w:pPr>
        <w:tabs>
          <w:tab w:val="left" w:pos="567"/>
        </w:tabs>
        <w:snapToGrid w:val="0"/>
        <w:rPr>
          <w:rFonts w:ascii="Arial" w:hAnsi="Arial" w:cs="Arial"/>
          <w:bCs/>
        </w:rPr>
      </w:pPr>
    </w:p>
    <w:p w14:paraId="69C03341" w14:textId="77777777" w:rsidR="00F9174B" w:rsidRDefault="00F9174B">
      <w:pPr>
        <w:tabs>
          <w:tab w:val="left" w:pos="567"/>
        </w:tabs>
        <w:snapToGrid w:val="0"/>
        <w:rPr>
          <w:rFonts w:ascii="Arial" w:hAnsi="Arial" w:cs="Arial"/>
          <w:bCs/>
        </w:rPr>
      </w:pPr>
    </w:p>
    <w:p w14:paraId="0D7B2772" w14:textId="77777777" w:rsidR="00F9174B" w:rsidRDefault="00827744">
      <w:pPr>
        <w:tabs>
          <w:tab w:val="left" w:pos="567"/>
        </w:tabs>
        <w:snapToGrid w:val="0"/>
        <w:jc w:val="center"/>
        <w:rPr>
          <w:rFonts w:ascii="Arial" w:hAnsi="Arial" w:cs="Arial"/>
          <w:b/>
          <w:bCs/>
          <w:i/>
          <w:sz w:val="32"/>
        </w:rPr>
      </w:pPr>
      <w:r>
        <w:rPr>
          <w:rFonts w:ascii="Arial" w:hAnsi="Arial" w:cs="Arial"/>
          <w:b/>
          <w:bCs/>
          <w:i/>
          <w:sz w:val="32"/>
        </w:rPr>
        <w:t>END</w:t>
      </w:r>
    </w:p>
    <w:sectPr w:rsidR="00F9174B">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4C28B" w14:textId="77777777" w:rsidR="00130D7E" w:rsidRDefault="00130D7E">
      <w:pPr>
        <w:spacing w:after="0" w:line="240" w:lineRule="auto"/>
      </w:pPr>
      <w:r>
        <w:separator/>
      </w:r>
    </w:p>
  </w:endnote>
  <w:endnote w:type="continuationSeparator" w:id="0">
    <w:p w14:paraId="4B9C4D95" w14:textId="77777777" w:rsidR="00130D7E" w:rsidRDefault="00130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C71" w14:textId="77777777" w:rsidR="00F9174B" w:rsidRDefault="0082774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C9638" w14:textId="77777777" w:rsidR="00130D7E" w:rsidRDefault="00130D7E">
      <w:pPr>
        <w:spacing w:after="0" w:line="240" w:lineRule="auto"/>
      </w:pPr>
      <w:r>
        <w:separator/>
      </w:r>
    </w:p>
  </w:footnote>
  <w:footnote w:type="continuationSeparator" w:id="0">
    <w:p w14:paraId="239BE774" w14:textId="77777777" w:rsidR="00130D7E" w:rsidRDefault="00130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A26BE"/>
    <w:multiLevelType w:val="multilevel"/>
    <w:tmpl w:val="0D3A2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C0A5931"/>
    <w:multiLevelType w:val="multilevel"/>
    <w:tmpl w:val="1C0A593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8923D0"/>
    <w:multiLevelType w:val="multilevel"/>
    <w:tmpl w:val="1E892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16ABC"/>
    <w:multiLevelType w:val="multilevel"/>
    <w:tmpl w:val="1F216AB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8" w15:restartNumberingAfterBreak="0">
    <w:nsid w:val="29863321"/>
    <w:multiLevelType w:val="multilevel"/>
    <w:tmpl w:val="29863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EB5F19"/>
    <w:multiLevelType w:val="multilevel"/>
    <w:tmpl w:val="2DEB5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2966373"/>
    <w:multiLevelType w:val="multilevel"/>
    <w:tmpl w:val="3296637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87A3E6E"/>
    <w:multiLevelType w:val="multilevel"/>
    <w:tmpl w:val="487A3E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AE361F"/>
    <w:multiLevelType w:val="multilevel"/>
    <w:tmpl w:val="52AE3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D5A7E6D"/>
    <w:multiLevelType w:val="multilevel"/>
    <w:tmpl w:val="5D5A7E6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22211B"/>
    <w:multiLevelType w:val="multilevel"/>
    <w:tmpl w:val="7322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21"/>
  </w:num>
  <w:num w:numId="3">
    <w:abstractNumId w:val="25"/>
  </w:num>
  <w:num w:numId="4">
    <w:abstractNumId w:val="22"/>
  </w:num>
  <w:num w:numId="5">
    <w:abstractNumId w:val="17"/>
  </w:num>
  <w:num w:numId="6">
    <w:abstractNumId w:val="12"/>
  </w:num>
  <w:num w:numId="7">
    <w:abstractNumId w:val="7"/>
  </w:num>
  <w:num w:numId="8">
    <w:abstractNumId w:val="10"/>
  </w:num>
  <w:num w:numId="9">
    <w:abstractNumId w:val="8"/>
  </w:num>
  <w:num w:numId="10">
    <w:abstractNumId w:val="24"/>
  </w:num>
  <w:num w:numId="11">
    <w:abstractNumId w:val="5"/>
  </w:num>
  <w:num w:numId="12">
    <w:abstractNumId w:val="18"/>
  </w:num>
  <w:num w:numId="13">
    <w:abstractNumId w:val="13"/>
  </w:num>
  <w:num w:numId="14">
    <w:abstractNumId w:val="20"/>
  </w:num>
  <w:num w:numId="15">
    <w:abstractNumId w:val="4"/>
  </w:num>
  <w:num w:numId="16">
    <w:abstractNumId w:val="23"/>
  </w:num>
  <w:num w:numId="17">
    <w:abstractNumId w:val="1"/>
  </w:num>
  <w:num w:numId="18">
    <w:abstractNumId w:val="19"/>
  </w:num>
  <w:num w:numId="19">
    <w:abstractNumId w:val="3"/>
  </w:num>
  <w:num w:numId="20">
    <w:abstractNumId w:val="0"/>
  </w:num>
  <w:num w:numId="21">
    <w:abstractNumId w:val="2"/>
  </w:num>
  <w:num w:numId="22">
    <w:abstractNumId w:val="15"/>
  </w:num>
  <w:num w:numId="23">
    <w:abstractNumId w:val="16"/>
  </w:num>
  <w:num w:numId="24">
    <w:abstractNumId w:val="9"/>
  </w:num>
  <w:num w:numId="25">
    <w:abstractNumId w:val="6"/>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6"/>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5259B"/>
    <w:rsid w:val="00053E44"/>
    <w:rsid w:val="00053FEE"/>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0D7E"/>
    <w:rsid w:val="001365AC"/>
    <w:rsid w:val="00137471"/>
    <w:rsid w:val="00137AE9"/>
    <w:rsid w:val="00142BC3"/>
    <w:rsid w:val="001437B5"/>
    <w:rsid w:val="00150FD3"/>
    <w:rsid w:val="001544F9"/>
    <w:rsid w:val="00155C9C"/>
    <w:rsid w:val="00160464"/>
    <w:rsid w:val="001648EF"/>
    <w:rsid w:val="001656ED"/>
    <w:rsid w:val="00165B5E"/>
    <w:rsid w:val="00166E4F"/>
    <w:rsid w:val="00170E00"/>
    <w:rsid w:val="00177AB2"/>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6B0E"/>
    <w:rsid w:val="00223EB5"/>
    <w:rsid w:val="0022485E"/>
    <w:rsid w:val="00225EF6"/>
    <w:rsid w:val="002270CF"/>
    <w:rsid w:val="00230D1B"/>
    <w:rsid w:val="00231DD8"/>
    <w:rsid w:val="00235DB7"/>
    <w:rsid w:val="002406AA"/>
    <w:rsid w:val="002410B1"/>
    <w:rsid w:val="0024125E"/>
    <w:rsid w:val="00243A99"/>
    <w:rsid w:val="00254B3E"/>
    <w:rsid w:val="00254DF1"/>
    <w:rsid w:val="0026685C"/>
    <w:rsid w:val="00292B11"/>
    <w:rsid w:val="0029567C"/>
    <w:rsid w:val="00295F13"/>
    <w:rsid w:val="002A4229"/>
    <w:rsid w:val="002C0B82"/>
    <w:rsid w:val="002C2508"/>
    <w:rsid w:val="002D4DAB"/>
    <w:rsid w:val="002D6692"/>
    <w:rsid w:val="002E4E15"/>
    <w:rsid w:val="002F166C"/>
    <w:rsid w:val="002F1ED8"/>
    <w:rsid w:val="002F2C27"/>
    <w:rsid w:val="002F310F"/>
    <w:rsid w:val="002F484F"/>
    <w:rsid w:val="00301761"/>
    <w:rsid w:val="00301B7A"/>
    <w:rsid w:val="003030FD"/>
    <w:rsid w:val="00305069"/>
    <w:rsid w:val="00306D59"/>
    <w:rsid w:val="00311D5A"/>
    <w:rsid w:val="00314648"/>
    <w:rsid w:val="00323E9F"/>
    <w:rsid w:val="0032503A"/>
    <w:rsid w:val="00325EE1"/>
    <w:rsid w:val="00331363"/>
    <w:rsid w:val="003348A0"/>
    <w:rsid w:val="003357C0"/>
    <w:rsid w:val="00344D60"/>
    <w:rsid w:val="00346477"/>
    <w:rsid w:val="00347CB0"/>
    <w:rsid w:val="0035200D"/>
    <w:rsid w:val="00356DE9"/>
    <w:rsid w:val="0036248C"/>
    <w:rsid w:val="00365D1A"/>
    <w:rsid w:val="003666A8"/>
    <w:rsid w:val="00367401"/>
    <w:rsid w:val="00373093"/>
    <w:rsid w:val="00375678"/>
    <w:rsid w:val="00375E31"/>
    <w:rsid w:val="00380184"/>
    <w:rsid w:val="003803B5"/>
    <w:rsid w:val="003804B5"/>
    <w:rsid w:val="00380E11"/>
    <w:rsid w:val="00383370"/>
    <w:rsid w:val="00386E7C"/>
    <w:rsid w:val="0039139F"/>
    <w:rsid w:val="003923A5"/>
    <w:rsid w:val="0039390A"/>
    <w:rsid w:val="00394AB0"/>
    <w:rsid w:val="00396252"/>
    <w:rsid w:val="00397AE8"/>
    <w:rsid w:val="003A4B47"/>
    <w:rsid w:val="003A5D38"/>
    <w:rsid w:val="003B24AF"/>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3C6"/>
    <w:rsid w:val="00455C1E"/>
    <w:rsid w:val="004561BA"/>
    <w:rsid w:val="00457D91"/>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E0823"/>
    <w:rsid w:val="004E152E"/>
    <w:rsid w:val="004E6072"/>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5331"/>
    <w:rsid w:val="00526B0D"/>
    <w:rsid w:val="00532F76"/>
    <w:rsid w:val="005414F4"/>
    <w:rsid w:val="00543029"/>
    <w:rsid w:val="00543067"/>
    <w:rsid w:val="005446DE"/>
    <w:rsid w:val="00545284"/>
    <w:rsid w:val="00547443"/>
    <w:rsid w:val="0055346F"/>
    <w:rsid w:val="005578F6"/>
    <w:rsid w:val="005579FF"/>
    <w:rsid w:val="00565962"/>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D4501"/>
    <w:rsid w:val="005D5789"/>
    <w:rsid w:val="005E1D58"/>
    <w:rsid w:val="005E43A7"/>
    <w:rsid w:val="005F5B38"/>
    <w:rsid w:val="00602B18"/>
    <w:rsid w:val="00610E37"/>
    <w:rsid w:val="00614068"/>
    <w:rsid w:val="00620098"/>
    <w:rsid w:val="006207ED"/>
    <w:rsid w:val="006225F8"/>
    <w:rsid w:val="0062274E"/>
    <w:rsid w:val="00623BA8"/>
    <w:rsid w:val="006250FA"/>
    <w:rsid w:val="00626BC9"/>
    <w:rsid w:val="006270B4"/>
    <w:rsid w:val="0063469B"/>
    <w:rsid w:val="006458DF"/>
    <w:rsid w:val="0064670A"/>
    <w:rsid w:val="00650D52"/>
    <w:rsid w:val="006615B2"/>
    <w:rsid w:val="006616EA"/>
    <w:rsid w:val="00662313"/>
    <w:rsid w:val="00665D45"/>
    <w:rsid w:val="00667267"/>
    <w:rsid w:val="00670AD9"/>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95F3C"/>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27744"/>
    <w:rsid w:val="0083266E"/>
    <w:rsid w:val="00837076"/>
    <w:rsid w:val="00842F9D"/>
    <w:rsid w:val="00847D52"/>
    <w:rsid w:val="00851ED4"/>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05977"/>
    <w:rsid w:val="0091008B"/>
    <w:rsid w:val="00911676"/>
    <w:rsid w:val="009129C9"/>
    <w:rsid w:val="0091390B"/>
    <w:rsid w:val="0091408E"/>
    <w:rsid w:val="009162F9"/>
    <w:rsid w:val="00917957"/>
    <w:rsid w:val="009228AF"/>
    <w:rsid w:val="00925C77"/>
    <w:rsid w:val="00926CD7"/>
    <w:rsid w:val="00932249"/>
    <w:rsid w:val="0093421D"/>
    <w:rsid w:val="009378CA"/>
    <w:rsid w:val="00944ABD"/>
    <w:rsid w:val="00945422"/>
    <w:rsid w:val="00945F44"/>
    <w:rsid w:val="0095025E"/>
    <w:rsid w:val="00950E06"/>
    <w:rsid w:val="009527BA"/>
    <w:rsid w:val="00954AA4"/>
    <w:rsid w:val="00955C4C"/>
    <w:rsid w:val="00961C29"/>
    <w:rsid w:val="00962C1F"/>
    <w:rsid w:val="00963B76"/>
    <w:rsid w:val="00965384"/>
    <w:rsid w:val="00967C91"/>
    <w:rsid w:val="00975B10"/>
    <w:rsid w:val="00976F8A"/>
    <w:rsid w:val="00985195"/>
    <w:rsid w:val="009863B9"/>
    <w:rsid w:val="0098733C"/>
    <w:rsid w:val="00991830"/>
    <w:rsid w:val="009948A1"/>
    <w:rsid w:val="00995338"/>
    <w:rsid w:val="00996777"/>
    <w:rsid w:val="00997E19"/>
    <w:rsid w:val="009A17C8"/>
    <w:rsid w:val="009A23FC"/>
    <w:rsid w:val="009A6C7B"/>
    <w:rsid w:val="009C0BC7"/>
    <w:rsid w:val="009C151A"/>
    <w:rsid w:val="009C6592"/>
    <w:rsid w:val="009C7915"/>
    <w:rsid w:val="009D6626"/>
    <w:rsid w:val="009D69A8"/>
    <w:rsid w:val="009E209B"/>
    <w:rsid w:val="009E3B92"/>
    <w:rsid w:val="009E4261"/>
    <w:rsid w:val="009F0747"/>
    <w:rsid w:val="009F44E4"/>
    <w:rsid w:val="009F50E1"/>
    <w:rsid w:val="00A013E8"/>
    <w:rsid w:val="00A03514"/>
    <w:rsid w:val="00A07AB1"/>
    <w:rsid w:val="00A13F87"/>
    <w:rsid w:val="00A1647A"/>
    <w:rsid w:val="00A17079"/>
    <w:rsid w:val="00A238C5"/>
    <w:rsid w:val="00A30038"/>
    <w:rsid w:val="00A3077C"/>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305C5"/>
    <w:rsid w:val="00C31EC3"/>
    <w:rsid w:val="00C32A99"/>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950F8"/>
    <w:rsid w:val="00CA388D"/>
    <w:rsid w:val="00CA5990"/>
    <w:rsid w:val="00CA6F62"/>
    <w:rsid w:val="00CA7E92"/>
    <w:rsid w:val="00CC1045"/>
    <w:rsid w:val="00CC7F75"/>
    <w:rsid w:val="00CD05DE"/>
    <w:rsid w:val="00CD200C"/>
    <w:rsid w:val="00CD506C"/>
    <w:rsid w:val="00CD5EFB"/>
    <w:rsid w:val="00CE5228"/>
    <w:rsid w:val="00CF2F36"/>
    <w:rsid w:val="00CF3C90"/>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6BA4"/>
    <w:rsid w:val="00D8021D"/>
    <w:rsid w:val="00D82D10"/>
    <w:rsid w:val="00D86784"/>
    <w:rsid w:val="00D920E6"/>
    <w:rsid w:val="00D94E23"/>
    <w:rsid w:val="00D96B31"/>
    <w:rsid w:val="00D96EDC"/>
    <w:rsid w:val="00DA004C"/>
    <w:rsid w:val="00DA459B"/>
    <w:rsid w:val="00DA6FD8"/>
    <w:rsid w:val="00DB1882"/>
    <w:rsid w:val="00DB2CB7"/>
    <w:rsid w:val="00DC1EEB"/>
    <w:rsid w:val="00DD23C4"/>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23F6"/>
    <w:rsid w:val="00E45067"/>
    <w:rsid w:val="00E47CDF"/>
    <w:rsid w:val="00E507B8"/>
    <w:rsid w:val="00E544FA"/>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E79F6"/>
    <w:rsid w:val="00EF4800"/>
    <w:rsid w:val="00EF674A"/>
    <w:rsid w:val="00EF77D8"/>
    <w:rsid w:val="00F00A3D"/>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6F2E"/>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C345B"/>
    <w:rsid w:val="00FC4EF3"/>
    <w:rsid w:val="00FC5C6C"/>
    <w:rsid w:val="00FC663F"/>
    <w:rsid w:val="00FC7B82"/>
    <w:rsid w:val="00FD4E37"/>
    <w:rsid w:val="00FE3B44"/>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ind w:left="1616" w:hanging="357"/>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hishek.roy@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customXml/itemProps4.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ED3EB17B-21DD-4D97-81FE-473EE2A67A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2404</Words>
  <Characters>13705</Characters>
  <Application>Microsoft Office Word</Application>
  <DocSecurity>0</DocSecurity>
  <Lines>114</Lines>
  <Paragraphs>32</Paragraphs>
  <ScaleCrop>false</ScaleCrop>
  <Company>株式会社エヌ・ティ・ティ・ドコモ</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Abhishek Roy</cp:lastModifiedBy>
  <cp:revision>3</cp:revision>
  <dcterms:created xsi:type="dcterms:W3CDTF">2022-09-12T22:28:00Z</dcterms:created>
  <dcterms:modified xsi:type="dcterms:W3CDTF">2022-09-12T22:28:00Z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ies>
</file>